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6071D" w14:textId="783331B7" w:rsidR="00CF17E8" w:rsidRPr="00835581" w:rsidRDefault="00CF17E8" w:rsidP="00CF17E8">
      <w:pPr>
        <w:pStyle w:val="Heading1"/>
        <w:spacing w:line="240" w:lineRule="auto"/>
      </w:pPr>
      <w:bookmarkStart w:id="0" w:name="_Toc408410427"/>
      <w:bookmarkStart w:id="1" w:name="_Toc408495614"/>
      <w:bookmarkStart w:id="2" w:name="_Toc409431105"/>
      <w:bookmarkStart w:id="3" w:name="_Toc409520923"/>
      <w:r>
        <w:rPr>
          <w:noProof/>
        </w:rPr>
        <w:drawing>
          <wp:inline distT="0" distB="0" distL="0" distR="0" wp14:anchorId="59CF843F" wp14:editId="70442D10">
            <wp:extent cx="6057900" cy="2233851"/>
            <wp:effectExtent l="0" t="0" r="0" b="0"/>
            <wp:docPr id="4688070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6057900" cy="2233851"/>
                    </a:xfrm>
                    <a:prstGeom prst="rect">
                      <a:avLst/>
                    </a:prstGeom>
                  </pic:spPr>
                </pic:pic>
              </a:graphicData>
            </a:graphic>
          </wp:inline>
        </w:drawing>
      </w:r>
      <w:bookmarkEnd w:id="0"/>
      <w:bookmarkEnd w:id="1"/>
      <w:bookmarkEnd w:id="2"/>
      <w:bookmarkEnd w:id="3"/>
    </w:p>
    <w:p w14:paraId="17AB2979" w14:textId="6821A448" w:rsidR="00CF17E8" w:rsidRPr="00835581" w:rsidRDefault="6E041AC4" w:rsidP="6E041AC4">
      <w:pPr>
        <w:pStyle w:val="Heading1"/>
        <w:spacing w:line="240" w:lineRule="auto"/>
        <w:jc w:val="center"/>
      </w:pPr>
      <w:r>
        <w:t>Policy on CONSENT</w:t>
      </w:r>
    </w:p>
    <w:p w14:paraId="375789C0" w14:textId="2C731E1E" w:rsidR="6E041AC4" w:rsidRDefault="6E041AC4" w:rsidP="6E041AC4"/>
    <w:p w14:paraId="060BB5A0" w14:textId="7AB56FBA" w:rsidR="6E041AC4" w:rsidRDefault="6E041AC4" w:rsidP="6E041AC4"/>
    <w:p w14:paraId="39E28E3C" w14:textId="79CD1437" w:rsidR="6E041AC4" w:rsidRDefault="6E041AC4" w:rsidP="6E041AC4"/>
    <w:p w14:paraId="25E21F6A" w14:textId="39835B52" w:rsidR="6E041AC4" w:rsidRDefault="6E041AC4" w:rsidP="70442D10"/>
    <w:p w14:paraId="07FCD0D6" w14:textId="67702AA9" w:rsidR="6E041AC4" w:rsidRDefault="6E041AC4" w:rsidP="6E041AC4"/>
    <w:p w14:paraId="2F6A37A2" w14:textId="38153A81" w:rsidR="6E041AC4" w:rsidRDefault="6E041AC4" w:rsidP="6E041AC4">
      <w:r w:rsidRPr="6E041AC4">
        <w:rPr>
          <w:rFonts w:ascii="Calibri" w:eastAsia="Calibri" w:hAnsi="Calibri" w:cs="Calibri"/>
          <w:color w:val="000000" w:themeColor="text1"/>
        </w:rPr>
        <w:t xml:space="preserve">Document Details  </w:t>
      </w:r>
    </w:p>
    <w:p w14:paraId="51B3EAF4" w14:textId="0DFE68E0" w:rsidR="6E041AC4" w:rsidRDefault="6E041AC4" w:rsidP="6E041AC4">
      <w:r w:rsidRPr="6E041AC4">
        <w:rPr>
          <w:rFonts w:ascii="Calibri" w:eastAsia="Calibri" w:hAnsi="Calibri" w:cs="Calibri"/>
          <w:color w:val="000000" w:themeColor="text1"/>
        </w:rPr>
        <w:t xml:space="preserve"> </w:t>
      </w:r>
    </w:p>
    <w:p w14:paraId="692C161C" w14:textId="4031B2FC" w:rsidR="6E041AC4" w:rsidRDefault="6E041AC4" w:rsidP="6E041AC4">
      <w:r w:rsidRPr="6E041AC4">
        <w:rPr>
          <w:rFonts w:ascii="Calibri" w:eastAsia="Calibri" w:hAnsi="Calibri" w:cs="Calibri"/>
          <w:color w:val="000000" w:themeColor="text1"/>
        </w:rPr>
        <w:t xml:space="preserve">Version 2 </w:t>
      </w:r>
    </w:p>
    <w:p w14:paraId="51FCD8DF" w14:textId="11AD1B56" w:rsidR="6E041AC4" w:rsidRDefault="6E041AC4" w:rsidP="6E041AC4">
      <w:r w:rsidRPr="6E041AC4">
        <w:rPr>
          <w:rFonts w:ascii="Calibri" w:eastAsia="Calibri" w:hAnsi="Calibri" w:cs="Calibri"/>
          <w:color w:val="000000" w:themeColor="text1"/>
        </w:rPr>
        <w:t xml:space="preserve"> </w:t>
      </w:r>
    </w:p>
    <w:p w14:paraId="70D1837F" w14:textId="0361FBFE" w:rsidR="6E041AC4" w:rsidRDefault="6E041AC4" w:rsidP="6E041AC4">
      <w:r>
        <w:rPr>
          <w:noProof/>
        </w:rPr>
        <w:drawing>
          <wp:inline distT="0" distB="0" distL="0" distR="0" wp14:anchorId="2B217CA9" wp14:editId="65BEA36B">
            <wp:extent cx="342900" cy="342900"/>
            <wp:effectExtent l="0" t="0" r="0" b="0"/>
            <wp:docPr id="103392960" name="picture" descr="F,{505d113c-6180-4a4d-abe9-80267b5bbf74}{206},3.6875,1.4375" title="Image download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6E041AC4">
        <w:rPr>
          <w:rFonts w:ascii="Calibri" w:eastAsia="Calibri" w:hAnsi="Calibri" w:cs="Calibri"/>
          <w:color w:val="000000" w:themeColor="text1"/>
        </w:rPr>
        <w:t xml:space="preserve">Date Issued October 2018     </w:t>
      </w:r>
    </w:p>
    <w:p w14:paraId="52CFE436" w14:textId="1EC69D9B" w:rsidR="6E041AC4" w:rsidRDefault="6E041AC4" w:rsidP="6E041AC4">
      <w:r w:rsidRPr="70442D10">
        <w:rPr>
          <w:rFonts w:ascii="Calibri" w:eastAsia="Calibri" w:hAnsi="Calibri" w:cs="Calibri"/>
          <w:color w:val="000000" w:themeColor="text1"/>
        </w:rPr>
        <w:t xml:space="preserve"> SIGNED                                           </w:t>
      </w:r>
      <w:proofErr w:type="gramStart"/>
      <w:r w:rsidRPr="70442D10">
        <w:rPr>
          <w:rFonts w:ascii="Calibri" w:eastAsia="Calibri" w:hAnsi="Calibri" w:cs="Calibri"/>
          <w:color w:val="000000" w:themeColor="text1"/>
        </w:rPr>
        <w:t xml:space="preserve">Date  </w:t>
      </w:r>
      <w:r w:rsidR="3CB70F42" w:rsidRPr="70442D10">
        <w:rPr>
          <w:rFonts w:ascii="Calibri" w:eastAsia="Calibri" w:hAnsi="Calibri" w:cs="Calibri"/>
          <w:color w:val="000000" w:themeColor="text1"/>
        </w:rPr>
        <w:t>2</w:t>
      </w:r>
      <w:r w:rsidR="00F60CF8">
        <w:rPr>
          <w:rFonts w:ascii="Calibri" w:eastAsia="Calibri" w:hAnsi="Calibri" w:cs="Calibri"/>
          <w:color w:val="000000" w:themeColor="text1"/>
        </w:rPr>
        <w:t>8</w:t>
      </w:r>
      <w:proofErr w:type="gramEnd"/>
      <w:r w:rsidR="3CB70F42" w:rsidRPr="70442D10">
        <w:rPr>
          <w:rFonts w:ascii="Calibri" w:eastAsia="Calibri" w:hAnsi="Calibri" w:cs="Calibri"/>
          <w:color w:val="000000" w:themeColor="text1"/>
        </w:rPr>
        <w:t>/0</w:t>
      </w:r>
      <w:r w:rsidR="00F60CF8">
        <w:rPr>
          <w:rFonts w:ascii="Calibri" w:eastAsia="Calibri" w:hAnsi="Calibri" w:cs="Calibri"/>
          <w:color w:val="000000" w:themeColor="text1"/>
        </w:rPr>
        <w:t>6</w:t>
      </w:r>
      <w:r w:rsidR="3CB70F42" w:rsidRPr="70442D10">
        <w:rPr>
          <w:rFonts w:ascii="Calibri" w:eastAsia="Calibri" w:hAnsi="Calibri" w:cs="Calibri"/>
          <w:color w:val="000000" w:themeColor="text1"/>
        </w:rPr>
        <w:t>/202</w:t>
      </w:r>
      <w:r w:rsidR="00F60CF8">
        <w:rPr>
          <w:rFonts w:ascii="Calibri" w:eastAsia="Calibri" w:hAnsi="Calibri" w:cs="Calibri"/>
          <w:color w:val="000000" w:themeColor="text1"/>
        </w:rPr>
        <w:t>2</w:t>
      </w:r>
    </w:p>
    <w:p w14:paraId="515B4E3E" w14:textId="13FA1418" w:rsidR="6E041AC4" w:rsidRDefault="6E041AC4" w:rsidP="6E041AC4">
      <w:r w:rsidRPr="6E041AC4">
        <w:rPr>
          <w:rFonts w:ascii="Calibri" w:eastAsia="Calibri" w:hAnsi="Calibri" w:cs="Calibri"/>
          <w:color w:val="000000" w:themeColor="text1"/>
        </w:rPr>
        <w:t xml:space="preserve"> </w:t>
      </w:r>
    </w:p>
    <w:p w14:paraId="6B22A791" w14:textId="563F8E19" w:rsidR="6E041AC4" w:rsidRDefault="6E041AC4" w:rsidP="70442D10">
      <w:pPr>
        <w:rPr>
          <w:rFonts w:ascii="Calibri" w:eastAsia="Calibri" w:hAnsi="Calibri" w:cs="Calibri"/>
          <w:color w:val="000000" w:themeColor="text1"/>
        </w:rPr>
      </w:pPr>
      <w:r w:rsidRPr="70442D10">
        <w:rPr>
          <w:rFonts w:ascii="Calibri" w:eastAsia="Calibri" w:hAnsi="Calibri" w:cs="Calibri"/>
          <w:color w:val="000000" w:themeColor="text1"/>
        </w:rPr>
        <w:t xml:space="preserve">Scheduled Review </w:t>
      </w:r>
      <w:r w:rsidR="00F60CF8">
        <w:rPr>
          <w:rFonts w:ascii="Calibri" w:eastAsia="Calibri" w:hAnsi="Calibri" w:cs="Calibri"/>
          <w:color w:val="000000" w:themeColor="text1"/>
        </w:rPr>
        <w:t xml:space="preserve">July </w:t>
      </w:r>
      <w:r w:rsidR="76A70083" w:rsidRPr="70442D10">
        <w:rPr>
          <w:rFonts w:ascii="Calibri" w:eastAsia="Calibri" w:hAnsi="Calibri" w:cs="Calibri"/>
          <w:color w:val="000000" w:themeColor="text1"/>
        </w:rPr>
        <w:t>202</w:t>
      </w:r>
      <w:r w:rsidR="00F60CF8">
        <w:rPr>
          <w:rFonts w:ascii="Calibri" w:eastAsia="Calibri" w:hAnsi="Calibri" w:cs="Calibri"/>
          <w:color w:val="000000" w:themeColor="text1"/>
        </w:rPr>
        <w:t>3</w:t>
      </w:r>
    </w:p>
    <w:p w14:paraId="1D525087" w14:textId="057C58F7" w:rsidR="70442D10" w:rsidRDefault="70442D10" w:rsidP="70442D10">
      <w:pPr>
        <w:rPr>
          <w:color w:val="000000" w:themeColor="text1"/>
        </w:rPr>
      </w:pPr>
    </w:p>
    <w:p w14:paraId="45627B26" w14:textId="123DB7BF" w:rsidR="70442D10" w:rsidRDefault="70442D10" w:rsidP="70442D10">
      <w:pPr>
        <w:rPr>
          <w:color w:val="000000" w:themeColor="text1"/>
        </w:rPr>
      </w:pPr>
    </w:p>
    <w:p w14:paraId="7F10F766" w14:textId="3E5D05AD" w:rsidR="70442D10" w:rsidRDefault="70442D10" w:rsidP="70442D10"/>
    <w:p w14:paraId="77876A74" w14:textId="77777777" w:rsidR="003472D0" w:rsidRDefault="003472D0" w:rsidP="00CF17E8">
      <w:bookmarkStart w:id="4" w:name="_Toc408410428"/>
      <w:bookmarkStart w:id="5" w:name="_Toc408495615"/>
      <w:bookmarkStart w:id="6" w:name="_Toc409431106"/>
    </w:p>
    <w:p w14:paraId="69977487" w14:textId="1CB21975" w:rsidR="00CF17E8" w:rsidRPr="00865580" w:rsidRDefault="00CF17E8" w:rsidP="00CF17E8">
      <w:pPr>
        <w:rPr>
          <w:b/>
        </w:rPr>
      </w:pPr>
      <w:r w:rsidRPr="00096CD0">
        <w:rPr>
          <w:b/>
        </w:rPr>
        <w:t>Policy Statement</w:t>
      </w:r>
      <w:bookmarkEnd w:id="4"/>
      <w:bookmarkEnd w:id="5"/>
      <w:bookmarkEnd w:id="6"/>
    </w:p>
    <w:p w14:paraId="777D8F99" w14:textId="3FAF3C39" w:rsidR="00CF17E8" w:rsidRPr="00835581" w:rsidRDefault="6E041AC4" w:rsidP="6E041AC4">
      <w:pPr>
        <w:spacing w:line="240" w:lineRule="auto"/>
        <w:rPr>
          <w:rFonts w:cs="Arial"/>
        </w:rPr>
      </w:pPr>
      <w:r w:rsidRPr="6E041AC4">
        <w:rPr>
          <w:rFonts w:cs="Arial"/>
        </w:rPr>
        <w:t>This charity needs to ensure that suitable arrangements are in place for obtaining and acting in accordance with the consent of members in relation to the care, treatment and support they receive.</w:t>
      </w:r>
    </w:p>
    <w:p w14:paraId="7FE8D7D3" w14:textId="77777777" w:rsidR="00CF17E8" w:rsidRPr="00865580" w:rsidRDefault="00CF17E8" w:rsidP="00CF17E8">
      <w:pPr>
        <w:rPr>
          <w:b/>
        </w:rPr>
      </w:pPr>
      <w:bookmarkStart w:id="7" w:name="_Toc408410429"/>
      <w:bookmarkStart w:id="8" w:name="_Toc408495616"/>
      <w:bookmarkStart w:id="9" w:name="_Toc409431107"/>
      <w:r w:rsidRPr="00096CD0">
        <w:rPr>
          <w:b/>
        </w:rPr>
        <w:t>The Policy</w:t>
      </w:r>
      <w:bookmarkEnd w:id="7"/>
      <w:bookmarkEnd w:id="8"/>
      <w:bookmarkEnd w:id="9"/>
    </w:p>
    <w:p w14:paraId="3DD358E8" w14:textId="20D174BB" w:rsidR="00CF17E8" w:rsidRPr="00835581" w:rsidRDefault="6E041AC4" w:rsidP="6E041AC4">
      <w:pPr>
        <w:spacing w:line="240" w:lineRule="auto"/>
        <w:rPr>
          <w:rFonts w:cs="Arial"/>
        </w:rPr>
      </w:pPr>
      <w:r w:rsidRPr="6E041AC4">
        <w:rPr>
          <w:rFonts w:cs="Arial"/>
        </w:rPr>
        <w:t xml:space="preserve">The aim of this policy is to provide an overview and understanding of consent, the process of gaining consent and, in relation to the </w:t>
      </w:r>
      <w:r w:rsidRPr="6E041AC4">
        <w:rPr>
          <w:rFonts w:cs="Arial"/>
          <w:i/>
          <w:iCs/>
        </w:rPr>
        <w:t>Mental Capacity Act 2005,</w:t>
      </w:r>
      <w:r w:rsidRPr="6E041AC4">
        <w:rPr>
          <w:rFonts w:cs="Arial"/>
        </w:rPr>
        <w:t xml:space="preserve"> the importance of capacity in relation to agreed consent. All staff within this charity will be kept updated of any changes via legislation or guidance.</w:t>
      </w:r>
    </w:p>
    <w:p w14:paraId="20DBAD8D" w14:textId="77777777" w:rsidR="00CF17E8" w:rsidRPr="00865580" w:rsidRDefault="00CF17E8" w:rsidP="00CF17E8">
      <w:pPr>
        <w:rPr>
          <w:b/>
        </w:rPr>
      </w:pPr>
      <w:bookmarkStart w:id="10" w:name="_Toc408410430"/>
      <w:bookmarkStart w:id="11" w:name="_Toc408495617"/>
      <w:bookmarkStart w:id="12" w:name="_Toc409431108"/>
      <w:r w:rsidRPr="00096CD0">
        <w:rPr>
          <w:b/>
        </w:rPr>
        <w:t>What is Informed Consent?</w:t>
      </w:r>
      <w:bookmarkEnd w:id="10"/>
      <w:bookmarkEnd w:id="11"/>
      <w:bookmarkEnd w:id="12"/>
    </w:p>
    <w:p w14:paraId="376A46B3" w14:textId="77777777" w:rsidR="00CF17E8" w:rsidRPr="00835581" w:rsidRDefault="00CF17E8" w:rsidP="00CF17E8">
      <w:pPr>
        <w:spacing w:line="240" w:lineRule="auto"/>
        <w:rPr>
          <w:rFonts w:cs="Arial"/>
        </w:rPr>
      </w:pPr>
      <w:r w:rsidRPr="00835581">
        <w:rPr>
          <w:rFonts w:cs="Arial"/>
        </w:rPr>
        <w:t>“The process of agreeing to care, treatment or support based on access to all relevant and easily digestible information regarding their care, treatment or support needs”.</w:t>
      </w:r>
    </w:p>
    <w:p w14:paraId="3759E44F" w14:textId="77D02791" w:rsidR="00CF17E8" w:rsidRPr="00835581" w:rsidRDefault="6E041AC4" w:rsidP="6E041AC4">
      <w:pPr>
        <w:spacing w:line="240" w:lineRule="auto"/>
        <w:rPr>
          <w:rFonts w:cs="Arial"/>
        </w:rPr>
      </w:pPr>
      <w:r w:rsidRPr="6E041AC4">
        <w:rPr>
          <w:rFonts w:cs="Arial"/>
        </w:rPr>
        <w:t xml:space="preserve">The above definition is straightforward and sets out the importance of the information which members should receive before consent is agreed, </w:t>
      </w:r>
      <w:proofErr w:type="gramStart"/>
      <w:r w:rsidRPr="6E041AC4">
        <w:rPr>
          <w:rFonts w:cs="Arial"/>
        </w:rPr>
        <w:t>in order to</w:t>
      </w:r>
      <w:proofErr w:type="gramEnd"/>
      <w:r w:rsidRPr="6E041AC4">
        <w:rPr>
          <w:rFonts w:cs="Arial"/>
        </w:rPr>
        <w:t xml:space="preserve"> ensure that the consent is valid.</w:t>
      </w:r>
    </w:p>
    <w:p w14:paraId="6DCDDC37" w14:textId="77777777" w:rsidR="00CF17E8" w:rsidRPr="00835581" w:rsidRDefault="00CF17E8" w:rsidP="00CF17E8">
      <w:pPr>
        <w:spacing w:line="240" w:lineRule="auto"/>
        <w:rPr>
          <w:rFonts w:cs="Arial"/>
        </w:rPr>
      </w:pPr>
      <w:r w:rsidRPr="00835581">
        <w:rPr>
          <w:rFonts w:cs="Arial"/>
        </w:rPr>
        <w:t xml:space="preserve">For truly informed consent, the </w:t>
      </w:r>
      <w:r w:rsidR="003F74AE">
        <w:rPr>
          <w:rFonts w:cs="Arial"/>
        </w:rPr>
        <w:t>service user</w:t>
      </w:r>
      <w:r w:rsidRPr="00835581">
        <w:rPr>
          <w:rFonts w:cs="Arial"/>
        </w:rPr>
        <w:t xml:space="preserve"> must understand the following;</w:t>
      </w:r>
    </w:p>
    <w:p w14:paraId="53DDAA76" w14:textId="77777777" w:rsidR="00CF17E8" w:rsidRPr="00835581" w:rsidRDefault="00CF17E8" w:rsidP="00120028">
      <w:pPr>
        <w:numPr>
          <w:ilvl w:val="0"/>
          <w:numId w:val="1"/>
        </w:numPr>
        <w:spacing w:after="0" w:line="240" w:lineRule="auto"/>
        <w:rPr>
          <w:rFonts w:cs="Arial"/>
        </w:rPr>
      </w:pPr>
      <w:r w:rsidRPr="00835581">
        <w:rPr>
          <w:rFonts w:cs="Arial"/>
        </w:rPr>
        <w:t>The purpose of the care, treatment or support</w:t>
      </w:r>
    </w:p>
    <w:p w14:paraId="49DF49F2" w14:textId="77777777" w:rsidR="00CF17E8" w:rsidRPr="00835581" w:rsidRDefault="00CF17E8" w:rsidP="00120028">
      <w:pPr>
        <w:numPr>
          <w:ilvl w:val="0"/>
          <w:numId w:val="1"/>
        </w:numPr>
        <w:spacing w:after="0" w:line="240" w:lineRule="auto"/>
        <w:rPr>
          <w:rFonts w:cs="Arial"/>
        </w:rPr>
      </w:pPr>
      <w:r w:rsidRPr="00835581">
        <w:rPr>
          <w:rFonts w:cs="Arial"/>
        </w:rPr>
        <w:t>Who is involved in the delivery of the service</w:t>
      </w:r>
    </w:p>
    <w:p w14:paraId="5A997C00" w14:textId="77777777" w:rsidR="00CF17E8" w:rsidRPr="00835581" w:rsidRDefault="00CF17E8" w:rsidP="00120028">
      <w:pPr>
        <w:numPr>
          <w:ilvl w:val="0"/>
          <w:numId w:val="1"/>
        </w:numPr>
        <w:spacing w:after="0" w:line="240" w:lineRule="auto"/>
        <w:rPr>
          <w:rFonts w:cs="Arial"/>
        </w:rPr>
      </w:pPr>
      <w:r w:rsidRPr="00835581">
        <w:rPr>
          <w:rFonts w:cs="Arial"/>
        </w:rPr>
        <w:t>The practicalities and processes involved</w:t>
      </w:r>
    </w:p>
    <w:p w14:paraId="6965078F" w14:textId="77777777" w:rsidR="00CF17E8" w:rsidRPr="00835581" w:rsidRDefault="00CF17E8" w:rsidP="00120028">
      <w:pPr>
        <w:numPr>
          <w:ilvl w:val="0"/>
          <w:numId w:val="1"/>
        </w:numPr>
        <w:spacing w:after="0" w:line="240" w:lineRule="auto"/>
        <w:rPr>
          <w:rFonts w:cs="Arial"/>
        </w:rPr>
      </w:pPr>
      <w:r w:rsidRPr="00835581">
        <w:rPr>
          <w:rFonts w:cs="Arial"/>
        </w:rPr>
        <w:t>The benefits and risks</w:t>
      </w:r>
    </w:p>
    <w:p w14:paraId="2330868F" w14:textId="77777777" w:rsidR="00CF17E8" w:rsidRPr="00835581" w:rsidRDefault="00CF17E8" w:rsidP="00120028">
      <w:pPr>
        <w:numPr>
          <w:ilvl w:val="0"/>
          <w:numId w:val="1"/>
        </w:numPr>
        <w:spacing w:after="0" w:line="240" w:lineRule="auto"/>
        <w:rPr>
          <w:rFonts w:cs="Arial"/>
        </w:rPr>
      </w:pPr>
      <w:r w:rsidRPr="00835581">
        <w:rPr>
          <w:rFonts w:cs="Arial"/>
        </w:rPr>
        <w:t>Data Protection and storage</w:t>
      </w:r>
    </w:p>
    <w:p w14:paraId="20DEEA25" w14:textId="77777777" w:rsidR="00CF17E8" w:rsidRPr="00835581" w:rsidRDefault="00CF17E8" w:rsidP="00120028">
      <w:pPr>
        <w:numPr>
          <w:ilvl w:val="0"/>
          <w:numId w:val="1"/>
        </w:numPr>
        <w:spacing w:after="0" w:line="240" w:lineRule="auto"/>
        <w:rPr>
          <w:rFonts w:cs="Arial"/>
        </w:rPr>
      </w:pPr>
      <w:r w:rsidRPr="00835581">
        <w:rPr>
          <w:rFonts w:cs="Arial"/>
        </w:rPr>
        <w:t>The purpose of the consent form</w:t>
      </w:r>
    </w:p>
    <w:p w14:paraId="3B073EEF" w14:textId="77777777" w:rsidR="00CF17E8" w:rsidRPr="00835581" w:rsidRDefault="00CF17E8" w:rsidP="00120028">
      <w:pPr>
        <w:numPr>
          <w:ilvl w:val="0"/>
          <w:numId w:val="1"/>
        </w:numPr>
        <w:spacing w:after="0" w:line="240" w:lineRule="auto"/>
        <w:rPr>
          <w:rFonts w:cs="Arial"/>
        </w:rPr>
      </w:pPr>
      <w:r w:rsidRPr="00835581">
        <w:rPr>
          <w:rFonts w:cs="Arial"/>
        </w:rPr>
        <w:t>How information will be provided and updated</w:t>
      </w:r>
    </w:p>
    <w:p w14:paraId="6F836C4C" w14:textId="77777777" w:rsidR="00CF17E8" w:rsidRPr="00835581" w:rsidRDefault="00CF17E8" w:rsidP="00120028">
      <w:pPr>
        <w:numPr>
          <w:ilvl w:val="0"/>
          <w:numId w:val="1"/>
        </w:numPr>
        <w:spacing w:after="0" w:line="240" w:lineRule="auto"/>
        <w:rPr>
          <w:rFonts w:cs="Arial"/>
        </w:rPr>
      </w:pPr>
      <w:r w:rsidRPr="00835581">
        <w:rPr>
          <w:rFonts w:cs="Arial"/>
        </w:rPr>
        <w:t>The notice periods which apply</w:t>
      </w:r>
    </w:p>
    <w:p w14:paraId="3FC47A5F" w14:textId="77777777" w:rsidR="00CF17E8" w:rsidRPr="00835581" w:rsidRDefault="00CF17E8" w:rsidP="00120028">
      <w:pPr>
        <w:numPr>
          <w:ilvl w:val="0"/>
          <w:numId w:val="1"/>
        </w:numPr>
        <w:spacing w:after="0" w:line="240" w:lineRule="auto"/>
        <w:rPr>
          <w:rFonts w:cs="Arial"/>
        </w:rPr>
      </w:pPr>
      <w:r w:rsidRPr="00835581">
        <w:rPr>
          <w:rFonts w:cs="Arial"/>
        </w:rPr>
        <w:t>Contact details should they have any further questions</w:t>
      </w:r>
    </w:p>
    <w:p w14:paraId="59A45B7A" w14:textId="77777777" w:rsidR="00CF17E8" w:rsidRPr="00835581" w:rsidRDefault="00CF17E8" w:rsidP="00120028">
      <w:pPr>
        <w:numPr>
          <w:ilvl w:val="0"/>
          <w:numId w:val="1"/>
        </w:numPr>
        <w:spacing w:after="0" w:line="240" w:lineRule="auto"/>
        <w:rPr>
          <w:rFonts w:cs="Arial"/>
        </w:rPr>
      </w:pPr>
      <w:r w:rsidRPr="00835581">
        <w:rPr>
          <w:rFonts w:cs="Arial"/>
        </w:rPr>
        <w:t>Full details of fees and the process of collection</w:t>
      </w:r>
    </w:p>
    <w:p w14:paraId="672A6659" w14:textId="77777777" w:rsidR="00CF17E8" w:rsidRPr="00835581" w:rsidRDefault="00CF17E8" w:rsidP="00CF17E8">
      <w:pPr>
        <w:spacing w:line="240" w:lineRule="auto"/>
        <w:ind w:left="360"/>
        <w:rPr>
          <w:rFonts w:cs="Arial"/>
        </w:rPr>
      </w:pPr>
    </w:p>
    <w:p w14:paraId="1E1C61EB" w14:textId="77777777" w:rsidR="00CF17E8" w:rsidRPr="00835581" w:rsidRDefault="00CF17E8" w:rsidP="00CF17E8">
      <w:pPr>
        <w:spacing w:line="240" w:lineRule="auto"/>
        <w:rPr>
          <w:rFonts w:cs="Arial"/>
        </w:rPr>
      </w:pPr>
      <w:r w:rsidRPr="00835581">
        <w:rPr>
          <w:rFonts w:cs="Arial"/>
        </w:rPr>
        <w:t xml:space="preserve">In addition, a care plan should be prepared which uses language appropriate to the </w:t>
      </w:r>
      <w:r w:rsidR="003F74AE">
        <w:rPr>
          <w:rFonts w:cs="Arial"/>
        </w:rPr>
        <w:t>service user</w:t>
      </w:r>
      <w:r w:rsidRPr="00835581">
        <w:rPr>
          <w:rFonts w:cs="Arial"/>
        </w:rPr>
        <w:t xml:space="preserve"> and avoids the use of technical language or jargon.</w:t>
      </w:r>
    </w:p>
    <w:p w14:paraId="019A7E3F" w14:textId="77777777" w:rsidR="00CF17E8" w:rsidRPr="00835581" w:rsidRDefault="00CF17E8" w:rsidP="00CF17E8">
      <w:pPr>
        <w:spacing w:line="240" w:lineRule="auto"/>
        <w:rPr>
          <w:rFonts w:cs="Arial"/>
        </w:rPr>
      </w:pPr>
      <w:r w:rsidRPr="00835581">
        <w:rPr>
          <w:rFonts w:cs="Arial"/>
        </w:rPr>
        <w:t xml:space="preserve">It is also important to remember that written information is only one method of sharing, and the use of diagrams, pictures, </w:t>
      </w:r>
      <w:proofErr w:type="gramStart"/>
      <w:r w:rsidRPr="00835581">
        <w:rPr>
          <w:rFonts w:cs="Arial"/>
        </w:rPr>
        <w:t>tables</w:t>
      </w:r>
      <w:proofErr w:type="gramEnd"/>
      <w:r w:rsidRPr="00835581">
        <w:rPr>
          <w:rFonts w:cs="Arial"/>
        </w:rPr>
        <w:t xml:space="preserve"> and flow charts could make a contribution to understanding the information. There may be circumstances where video pens, podcasts, </w:t>
      </w:r>
      <w:proofErr w:type="gramStart"/>
      <w:r w:rsidRPr="00835581">
        <w:rPr>
          <w:rFonts w:cs="Arial"/>
        </w:rPr>
        <w:t>recordings</w:t>
      </w:r>
      <w:proofErr w:type="gramEnd"/>
      <w:r w:rsidRPr="00835581">
        <w:rPr>
          <w:rFonts w:cs="Arial"/>
        </w:rPr>
        <w:t xml:space="preserve"> or other means of sharing information may be more appropriate.</w:t>
      </w:r>
    </w:p>
    <w:p w14:paraId="76B7E897" w14:textId="77777777" w:rsidR="00CF17E8" w:rsidRPr="00865580" w:rsidRDefault="00CF17E8" w:rsidP="00CF17E8">
      <w:pPr>
        <w:spacing w:line="240" w:lineRule="auto"/>
        <w:rPr>
          <w:rFonts w:cs="Arial"/>
        </w:rPr>
      </w:pPr>
      <w:proofErr w:type="gramStart"/>
      <w:r w:rsidRPr="00835581">
        <w:rPr>
          <w:rFonts w:cs="Arial"/>
        </w:rPr>
        <w:t>All of</w:t>
      </w:r>
      <w:proofErr w:type="gramEnd"/>
      <w:r w:rsidRPr="00835581">
        <w:rPr>
          <w:rFonts w:cs="Arial"/>
        </w:rPr>
        <w:t xml:space="preserve"> the above contribute to an informed consent decision.</w:t>
      </w:r>
    </w:p>
    <w:p w14:paraId="610093DB" w14:textId="77777777" w:rsidR="00CF17E8" w:rsidRPr="00865580" w:rsidRDefault="00CF17E8" w:rsidP="00CF17E8">
      <w:pPr>
        <w:rPr>
          <w:b/>
        </w:rPr>
      </w:pPr>
      <w:bookmarkStart w:id="13" w:name="_Toc408410431"/>
      <w:bookmarkStart w:id="14" w:name="_Toc408495618"/>
      <w:bookmarkStart w:id="15" w:name="_Toc409431109"/>
      <w:r w:rsidRPr="00096CD0">
        <w:rPr>
          <w:b/>
        </w:rPr>
        <w:t>Ongoing Consent as a Process</w:t>
      </w:r>
      <w:bookmarkEnd w:id="13"/>
      <w:bookmarkEnd w:id="14"/>
      <w:bookmarkEnd w:id="15"/>
    </w:p>
    <w:p w14:paraId="057513CB" w14:textId="633C7087" w:rsidR="00CF17E8" w:rsidRDefault="6E041AC4" w:rsidP="6E041AC4">
      <w:pPr>
        <w:spacing w:line="240" w:lineRule="auto"/>
        <w:rPr>
          <w:rFonts w:cs="Arial"/>
        </w:rPr>
      </w:pPr>
      <w:r w:rsidRPr="6E041AC4">
        <w:rPr>
          <w:rFonts w:cs="Arial"/>
        </w:rPr>
        <w:t>Informed consent is an ongoing process and consequently</w:t>
      </w:r>
      <w:r w:rsidR="003472D0" w:rsidRPr="003472D0">
        <w:rPr>
          <w:rFonts w:cs="Arial"/>
          <w:highlight w:val="green"/>
        </w:rPr>
        <w:t>,</w:t>
      </w:r>
      <w:r w:rsidRPr="6E041AC4">
        <w:rPr>
          <w:rFonts w:cs="Arial"/>
        </w:rPr>
        <w:t xml:space="preserve"> providers must ensure that members:</w:t>
      </w:r>
    </w:p>
    <w:p w14:paraId="483B259F" w14:textId="77777777" w:rsidR="003472D0" w:rsidRDefault="003472D0" w:rsidP="6E041AC4">
      <w:pPr>
        <w:spacing w:line="240" w:lineRule="auto"/>
        <w:rPr>
          <w:rFonts w:cs="Arial"/>
        </w:rPr>
      </w:pPr>
    </w:p>
    <w:p w14:paraId="62CF23AC" w14:textId="77777777" w:rsidR="003472D0" w:rsidRPr="00835581" w:rsidRDefault="003472D0" w:rsidP="6E041AC4">
      <w:pPr>
        <w:spacing w:line="240" w:lineRule="auto"/>
        <w:rPr>
          <w:rFonts w:cs="Arial"/>
        </w:rPr>
      </w:pPr>
    </w:p>
    <w:p w14:paraId="349D983E" w14:textId="77777777" w:rsidR="00CF17E8" w:rsidRPr="00835581" w:rsidRDefault="00CF17E8" w:rsidP="00120028">
      <w:pPr>
        <w:numPr>
          <w:ilvl w:val="0"/>
          <w:numId w:val="2"/>
        </w:numPr>
        <w:spacing w:after="0" w:line="240" w:lineRule="auto"/>
        <w:rPr>
          <w:rFonts w:cs="Arial"/>
        </w:rPr>
      </w:pPr>
      <w:r w:rsidRPr="00835581">
        <w:rPr>
          <w:rFonts w:cs="Arial"/>
        </w:rPr>
        <w:t>Continue to understand what they are consenting to</w:t>
      </w:r>
    </w:p>
    <w:p w14:paraId="166CDE93" w14:textId="77777777" w:rsidR="00CF17E8" w:rsidRPr="00835581" w:rsidRDefault="00CF17E8" w:rsidP="00120028">
      <w:pPr>
        <w:numPr>
          <w:ilvl w:val="0"/>
          <w:numId w:val="2"/>
        </w:numPr>
        <w:spacing w:after="0" w:line="240" w:lineRule="auto"/>
        <w:rPr>
          <w:rFonts w:cs="Arial"/>
        </w:rPr>
      </w:pPr>
      <w:r w:rsidRPr="00835581">
        <w:rPr>
          <w:rFonts w:cs="Arial"/>
        </w:rPr>
        <w:t>Are provided with any new information which could influence their decision to consent</w:t>
      </w:r>
    </w:p>
    <w:p w14:paraId="4A8E881E" w14:textId="77777777" w:rsidR="00CF17E8" w:rsidRPr="00835581" w:rsidRDefault="00CF17E8" w:rsidP="00120028">
      <w:pPr>
        <w:numPr>
          <w:ilvl w:val="0"/>
          <w:numId w:val="2"/>
        </w:numPr>
        <w:spacing w:after="0" w:line="240" w:lineRule="auto"/>
        <w:rPr>
          <w:rFonts w:cs="Arial"/>
        </w:rPr>
      </w:pPr>
      <w:r w:rsidRPr="00835581">
        <w:rPr>
          <w:rFonts w:cs="Arial"/>
        </w:rPr>
        <w:t>Continue to consent to care, treatment and support in an informed environment.</w:t>
      </w:r>
    </w:p>
    <w:p w14:paraId="0A37501D" w14:textId="77777777" w:rsidR="00CF17E8" w:rsidRPr="00835581" w:rsidRDefault="00CF17E8" w:rsidP="00CF17E8">
      <w:pPr>
        <w:spacing w:line="240" w:lineRule="auto"/>
        <w:ind w:left="720"/>
        <w:rPr>
          <w:rFonts w:cs="Arial"/>
        </w:rPr>
      </w:pPr>
    </w:p>
    <w:p w14:paraId="4DA42F53" w14:textId="77777777" w:rsidR="00CF17E8" w:rsidRPr="00865580" w:rsidRDefault="00CF17E8" w:rsidP="00CF17E8">
      <w:pPr>
        <w:rPr>
          <w:b/>
        </w:rPr>
      </w:pPr>
      <w:bookmarkStart w:id="16" w:name="_Toc408410432"/>
      <w:bookmarkStart w:id="17" w:name="_Toc408495619"/>
      <w:bookmarkStart w:id="18" w:name="_Toc409431110"/>
      <w:r w:rsidRPr="00096CD0">
        <w:rPr>
          <w:b/>
        </w:rPr>
        <w:t>Reviewing Informed Consent</w:t>
      </w:r>
      <w:bookmarkEnd w:id="16"/>
      <w:bookmarkEnd w:id="17"/>
      <w:bookmarkEnd w:id="18"/>
    </w:p>
    <w:p w14:paraId="40D7CEA4" w14:textId="0A946262" w:rsidR="00CF17E8" w:rsidRPr="00835581" w:rsidRDefault="00CF17E8" w:rsidP="00CF17E8">
      <w:pPr>
        <w:spacing w:line="240" w:lineRule="auto"/>
        <w:rPr>
          <w:rFonts w:cs="Arial"/>
        </w:rPr>
      </w:pPr>
      <w:r w:rsidRPr="45B08A06">
        <w:rPr>
          <w:rFonts w:cs="Arial"/>
        </w:rPr>
        <w:t xml:space="preserve">Reviewing informed consent is often done informally, but on occasions it will be appropriate for formal consent to be obtained and recorded, </w:t>
      </w:r>
      <w:proofErr w:type="gramStart"/>
      <w:r w:rsidRPr="45B08A06">
        <w:rPr>
          <w:rFonts w:cs="Arial"/>
        </w:rPr>
        <w:t>e.g.</w:t>
      </w:r>
      <w:proofErr w:type="gramEnd"/>
      <w:r w:rsidRPr="45B08A06">
        <w:rPr>
          <w:rFonts w:cs="Arial"/>
        </w:rPr>
        <w:t xml:space="preserve"> where there is a significant change to the care plan</w:t>
      </w:r>
      <w:r w:rsidR="292D33C6" w:rsidRPr="45B08A06">
        <w:rPr>
          <w:rFonts w:cs="Arial"/>
        </w:rPr>
        <w:t>.</w:t>
      </w:r>
    </w:p>
    <w:p w14:paraId="0A0C1F31" w14:textId="77777777" w:rsidR="00CF17E8" w:rsidRPr="00865580" w:rsidRDefault="00CF17E8" w:rsidP="00CF17E8">
      <w:pPr>
        <w:rPr>
          <w:b/>
        </w:rPr>
      </w:pPr>
      <w:bookmarkStart w:id="19" w:name="_Toc408410433"/>
      <w:bookmarkStart w:id="20" w:name="_Toc408495620"/>
      <w:bookmarkStart w:id="21" w:name="_Toc409431111"/>
      <w:r w:rsidRPr="00096CD0">
        <w:rPr>
          <w:b/>
        </w:rPr>
        <w:t>The Legal and Ethical Framework</w:t>
      </w:r>
      <w:bookmarkEnd w:id="19"/>
      <w:bookmarkEnd w:id="20"/>
      <w:bookmarkEnd w:id="21"/>
    </w:p>
    <w:p w14:paraId="2E90E734" w14:textId="77777777" w:rsidR="00CF17E8" w:rsidRPr="00835581" w:rsidRDefault="00CF17E8" w:rsidP="00CF17E8">
      <w:pPr>
        <w:spacing w:line="240" w:lineRule="auto"/>
        <w:rPr>
          <w:rFonts w:cs="Arial"/>
        </w:rPr>
      </w:pPr>
      <w:r w:rsidRPr="00835581">
        <w:rPr>
          <w:rFonts w:cs="Arial"/>
        </w:rPr>
        <w:t xml:space="preserve">“The aim of the </w:t>
      </w:r>
      <w:r w:rsidRPr="00835581">
        <w:rPr>
          <w:rFonts w:cs="Arial"/>
          <w:i/>
        </w:rPr>
        <w:t>Mental Capacity Act 2005</w:t>
      </w:r>
      <w:r w:rsidRPr="00835581">
        <w:rPr>
          <w:rFonts w:cs="Arial"/>
        </w:rPr>
        <w:t xml:space="preserve"> is to balance the importance of care, treatment and support of people who lack capacity with a need to protect their interests and respect their current and previously expressed wishes and feelings”</w:t>
      </w:r>
    </w:p>
    <w:p w14:paraId="02DEFE57" w14:textId="77777777" w:rsidR="00CF17E8" w:rsidRPr="00835581" w:rsidRDefault="00CF17E8" w:rsidP="00CF17E8">
      <w:pPr>
        <w:spacing w:line="240" w:lineRule="auto"/>
        <w:rPr>
          <w:rFonts w:cs="Arial"/>
        </w:rPr>
      </w:pPr>
      <w:r w:rsidRPr="00835581">
        <w:rPr>
          <w:rFonts w:cs="Arial"/>
        </w:rPr>
        <w:t xml:space="preserve">The ethical principle relating to informed consent is the belief that everyone should be treated with respect, and that their diverse needs when gaining informed consent must </w:t>
      </w:r>
      <w:proofErr w:type="gramStart"/>
      <w:r w:rsidRPr="00835581">
        <w:rPr>
          <w:rFonts w:cs="Arial"/>
        </w:rPr>
        <w:t>take into account</w:t>
      </w:r>
      <w:proofErr w:type="gramEnd"/>
      <w:r w:rsidRPr="00835581">
        <w:rPr>
          <w:rFonts w:cs="Arial"/>
        </w:rPr>
        <w:t xml:space="preserve"> factors such as:</w:t>
      </w:r>
    </w:p>
    <w:p w14:paraId="3C1F7CC5" w14:textId="77777777" w:rsidR="00CF17E8" w:rsidRPr="00835581" w:rsidRDefault="00CF17E8" w:rsidP="00120028">
      <w:pPr>
        <w:numPr>
          <w:ilvl w:val="0"/>
          <w:numId w:val="3"/>
        </w:numPr>
        <w:spacing w:after="0" w:line="240" w:lineRule="auto"/>
        <w:rPr>
          <w:rFonts w:cs="Arial"/>
        </w:rPr>
      </w:pPr>
      <w:r w:rsidRPr="00835581">
        <w:rPr>
          <w:rFonts w:cs="Arial"/>
        </w:rPr>
        <w:t>Ethnicity</w:t>
      </w:r>
    </w:p>
    <w:p w14:paraId="70AA5834" w14:textId="77777777" w:rsidR="00CF17E8" w:rsidRPr="00835581" w:rsidRDefault="00CF17E8" w:rsidP="00120028">
      <w:pPr>
        <w:numPr>
          <w:ilvl w:val="0"/>
          <w:numId w:val="3"/>
        </w:numPr>
        <w:spacing w:after="0" w:line="240" w:lineRule="auto"/>
        <w:rPr>
          <w:rFonts w:cs="Arial"/>
        </w:rPr>
      </w:pPr>
      <w:r w:rsidRPr="00835581">
        <w:rPr>
          <w:rFonts w:cs="Arial"/>
        </w:rPr>
        <w:t>Gender</w:t>
      </w:r>
    </w:p>
    <w:p w14:paraId="3196EC1C" w14:textId="77777777" w:rsidR="00CF17E8" w:rsidRPr="00835581" w:rsidRDefault="00CF17E8" w:rsidP="00120028">
      <w:pPr>
        <w:numPr>
          <w:ilvl w:val="0"/>
          <w:numId w:val="3"/>
        </w:numPr>
        <w:spacing w:after="0" w:line="240" w:lineRule="auto"/>
        <w:rPr>
          <w:rFonts w:cs="Arial"/>
        </w:rPr>
      </w:pPr>
      <w:r w:rsidRPr="00835581">
        <w:rPr>
          <w:rFonts w:cs="Arial"/>
        </w:rPr>
        <w:t>Disability</w:t>
      </w:r>
    </w:p>
    <w:p w14:paraId="06D51843" w14:textId="77777777" w:rsidR="00CF17E8" w:rsidRPr="00835581" w:rsidRDefault="00CF17E8" w:rsidP="00120028">
      <w:pPr>
        <w:numPr>
          <w:ilvl w:val="0"/>
          <w:numId w:val="3"/>
        </w:numPr>
        <w:spacing w:after="0" w:line="240" w:lineRule="auto"/>
        <w:rPr>
          <w:rFonts w:cs="Arial"/>
        </w:rPr>
      </w:pPr>
      <w:r w:rsidRPr="00835581">
        <w:rPr>
          <w:rFonts w:cs="Arial"/>
        </w:rPr>
        <w:t>Religious beliefs</w:t>
      </w:r>
    </w:p>
    <w:p w14:paraId="74C100EA" w14:textId="77777777" w:rsidR="00CF17E8" w:rsidRPr="00835581" w:rsidRDefault="00CF17E8" w:rsidP="00120028">
      <w:pPr>
        <w:numPr>
          <w:ilvl w:val="0"/>
          <w:numId w:val="3"/>
        </w:numPr>
        <w:spacing w:after="0" w:line="240" w:lineRule="auto"/>
        <w:rPr>
          <w:rFonts w:cs="Arial"/>
        </w:rPr>
      </w:pPr>
      <w:r w:rsidRPr="00835581">
        <w:rPr>
          <w:rFonts w:cs="Arial"/>
        </w:rPr>
        <w:t>Culture</w:t>
      </w:r>
    </w:p>
    <w:p w14:paraId="024F676F" w14:textId="77777777" w:rsidR="00CF17E8" w:rsidRPr="00835581" w:rsidRDefault="00CF17E8" w:rsidP="00120028">
      <w:pPr>
        <w:numPr>
          <w:ilvl w:val="0"/>
          <w:numId w:val="3"/>
        </w:numPr>
        <w:spacing w:after="0" w:line="240" w:lineRule="auto"/>
        <w:rPr>
          <w:rFonts w:cs="Arial"/>
        </w:rPr>
      </w:pPr>
      <w:r w:rsidRPr="00835581">
        <w:rPr>
          <w:rFonts w:cs="Arial"/>
        </w:rPr>
        <w:t>Language</w:t>
      </w:r>
    </w:p>
    <w:p w14:paraId="4B71005B" w14:textId="77777777" w:rsidR="00CF17E8" w:rsidRDefault="00CF17E8" w:rsidP="00120028">
      <w:pPr>
        <w:numPr>
          <w:ilvl w:val="0"/>
          <w:numId w:val="3"/>
        </w:numPr>
        <w:spacing w:after="0" w:line="240" w:lineRule="auto"/>
        <w:rPr>
          <w:rFonts w:cs="Arial"/>
        </w:rPr>
      </w:pPr>
      <w:r w:rsidRPr="00835581">
        <w:rPr>
          <w:rFonts w:cs="Arial"/>
        </w:rPr>
        <w:t>Level of understanding</w:t>
      </w:r>
    </w:p>
    <w:p w14:paraId="5DAB6C7B" w14:textId="77777777" w:rsidR="00CF17E8" w:rsidRPr="007E5588" w:rsidRDefault="00CF17E8" w:rsidP="00CF17E8">
      <w:pPr>
        <w:spacing w:after="0" w:line="240" w:lineRule="auto"/>
        <w:ind w:left="1515"/>
        <w:rPr>
          <w:rFonts w:cs="Arial"/>
        </w:rPr>
      </w:pPr>
    </w:p>
    <w:p w14:paraId="4932D862" w14:textId="30B50006" w:rsidR="00CF17E8" w:rsidRPr="00835581" w:rsidRDefault="6E041AC4" w:rsidP="6E041AC4">
      <w:pPr>
        <w:spacing w:line="240" w:lineRule="auto"/>
        <w:rPr>
          <w:rFonts w:cs="Arial"/>
        </w:rPr>
      </w:pPr>
      <w:r w:rsidRPr="6E041AC4">
        <w:rPr>
          <w:rFonts w:cs="Arial"/>
        </w:rPr>
        <w:t>Sensitivity and care must be taken when going through the process of gaining informed consent. When the service user has made the decision relating to their care, treatment or support this charity will respect that autonomous decision even if they disagree with it.</w:t>
      </w:r>
    </w:p>
    <w:p w14:paraId="747B5304" w14:textId="07215820" w:rsidR="00CF17E8" w:rsidRPr="00835581" w:rsidRDefault="6E041AC4" w:rsidP="6E041AC4">
      <w:pPr>
        <w:spacing w:line="240" w:lineRule="auto"/>
        <w:rPr>
          <w:rFonts w:cs="Arial"/>
        </w:rPr>
      </w:pPr>
      <w:r w:rsidRPr="6E041AC4">
        <w:rPr>
          <w:rFonts w:cs="Arial"/>
        </w:rPr>
        <w:t>This respect for autonomous and informed decision making also requires that members are never coerced into informed consent decisions. It is important to remember that members are potentially vulnerable to such coercion by</w:t>
      </w:r>
      <w:r w:rsidR="003D42F3">
        <w:rPr>
          <w:rFonts w:cs="Arial"/>
        </w:rPr>
        <w:t xml:space="preserve"> </w:t>
      </w:r>
      <w:r w:rsidR="003D42F3" w:rsidRPr="003D42F3">
        <w:rPr>
          <w:rFonts w:cs="Arial"/>
          <w:highlight w:val="green"/>
        </w:rPr>
        <w:t>the</w:t>
      </w:r>
      <w:r w:rsidRPr="6E041AC4">
        <w:rPr>
          <w:rFonts w:cs="Arial"/>
        </w:rPr>
        <w:t xml:space="preserve"> nature of their relationship with this charity</w:t>
      </w:r>
    </w:p>
    <w:p w14:paraId="6A8F26D7" w14:textId="77777777" w:rsidR="00CF17E8" w:rsidRPr="00835581" w:rsidRDefault="00CF17E8" w:rsidP="00CF17E8">
      <w:pPr>
        <w:spacing w:line="240" w:lineRule="auto"/>
        <w:rPr>
          <w:rFonts w:cs="Arial"/>
        </w:rPr>
      </w:pPr>
      <w:r w:rsidRPr="00835581">
        <w:rPr>
          <w:rFonts w:cs="Arial"/>
        </w:rPr>
        <w:t xml:space="preserve">UK case law on consent has established 3 requirements that need to be satisfied before a </w:t>
      </w:r>
      <w:r w:rsidR="003F74AE">
        <w:rPr>
          <w:rFonts w:cs="Arial"/>
        </w:rPr>
        <w:t>service user</w:t>
      </w:r>
      <w:r w:rsidRPr="00835581">
        <w:rPr>
          <w:rFonts w:cs="Arial"/>
        </w:rPr>
        <w:t xml:space="preserve"> can give informed consent:</w:t>
      </w:r>
    </w:p>
    <w:p w14:paraId="47DC5A7A" w14:textId="77777777" w:rsidR="00CF17E8" w:rsidRPr="00835581" w:rsidRDefault="00CF17E8" w:rsidP="00120028">
      <w:pPr>
        <w:numPr>
          <w:ilvl w:val="0"/>
          <w:numId w:val="4"/>
        </w:numPr>
        <w:spacing w:after="0" w:line="240" w:lineRule="auto"/>
        <w:rPr>
          <w:rFonts w:cs="Arial"/>
        </w:rPr>
      </w:pPr>
      <w:r w:rsidRPr="00835581">
        <w:rPr>
          <w:rFonts w:cs="Arial"/>
        </w:rPr>
        <w:t>Consent should be given by someone with the mental capacity to do so</w:t>
      </w:r>
    </w:p>
    <w:p w14:paraId="65131A40" w14:textId="77777777" w:rsidR="00CF17E8" w:rsidRPr="00835581" w:rsidRDefault="00CF17E8" w:rsidP="00120028">
      <w:pPr>
        <w:numPr>
          <w:ilvl w:val="0"/>
          <w:numId w:val="4"/>
        </w:numPr>
        <w:spacing w:after="0" w:line="240" w:lineRule="auto"/>
        <w:rPr>
          <w:rFonts w:cs="Arial"/>
        </w:rPr>
      </w:pPr>
      <w:r w:rsidRPr="00835581">
        <w:rPr>
          <w:rFonts w:cs="Arial"/>
        </w:rPr>
        <w:t xml:space="preserve">Sufficient information should be given to the </w:t>
      </w:r>
      <w:r w:rsidR="003F74AE">
        <w:rPr>
          <w:rFonts w:cs="Arial"/>
        </w:rPr>
        <w:t>service user</w:t>
      </w:r>
    </w:p>
    <w:p w14:paraId="7ABAD378" w14:textId="77777777" w:rsidR="00CF17E8" w:rsidRPr="00835581" w:rsidRDefault="00CF17E8" w:rsidP="00120028">
      <w:pPr>
        <w:numPr>
          <w:ilvl w:val="0"/>
          <w:numId w:val="4"/>
        </w:numPr>
        <w:spacing w:after="0" w:line="240" w:lineRule="auto"/>
        <w:rPr>
          <w:rFonts w:cs="Arial"/>
        </w:rPr>
      </w:pPr>
      <w:r w:rsidRPr="00835581">
        <w:rPr>
          <w:rFonts w:cs="Arial"/>
        </w:rPr>
        <w:t>Consent must be freely given</w:t>
      </w:r>
    </w:p>
    <w:p w14:paraId="02EB378F" w14:textId="77777777" w:rsidR="00CF17E8" w:rsidRDefault="00CF17E8" w:rsidP="00CF17E8">
      <w:pPr>
        <w:spacing w:line="240" w:lineRule="auto"/>
        <w:rPr>
          <w:rFonts w:cs="Arial"/>
        </w:rPr>
      </w:pPr>
    </w:p>
    <w:p w14:paraId="59CA564A" w14:textId="77777777" w:rsidR="00CF17E8" w:rsidRPr="00865580" w:rsidRDefault="00CF17E8" w:rsidP="00CF17E8">
      <w:pPr>
        <w:spacing w:line="240" w:lineRule="auto"/>
        <w:rPr>
          <w:rFonts w:cs="Arial"/>
        </w:rPr>
      </w:pPr>
      <w:r w:rsidRPr="00835581">
        <w:rPr>
          <w:rFonts w:cs="Arial"/>
        </w:rPr>
        <w:t xml:space="preserve">If any of these requirements are </w:t>
      </w:r>
      <w:proofErr w:type="gramStart"/>
      <w:r w:rsidRPr="00835581">
        <w:rPr>
          <w:rFonts w:cs="Arial"/>
        </w:rPr>
        <w:t>lacking</w:t>
      </w:r>
      <w:proofErr w:type="gramEnd"/>
      <w:r w:rsidRPr="00835581">
        <w:rPr>
          <w:rFonts w:cs="Arial"/>
        </w:rPr>
        <w:t xml:space="preserve"> then the consent is invalid.</w:t>
      </w:r>
      <w:bookmarkStart w:id="22" w:name="_Toc408410434"/>
      <w:bookmarkStart w:id="23" w:name="_Toc408495621"/>
    </w:p>
    <w:p w14:paraId="53C0BE39" w14:textId="77777777" w:rsidR="00CF17E8" w:rsidRPr="00865580" w:rsidRDefault="00CF17E8" w:rsidP="00CF17E8">
      <w:pPr>
        <w:rPr>
          <w:b/>
        </w:rPr>
      </w:pPr>
      <w:bookmarkStart w:id="24" w:name="_Toc409431112"/>
      <w:r w:rsidRPr="00096CD0">
        <w:rPr>
          <w:b/>
        </w:rPr>
        <w:t>Informed Consent in Special Circumstances</w:t>
      </w:r>
      <w:bookmarkEnd w:id="22"/>
      <w:bookmarkEnd w:id="23"/>
      <w:bookmarkEnd w:id="24"/>
    </w:p>
    <w:p w14:paraId="5EF5A9B5" w14:textId="77777777" w:rsidR="00CF17E8" w:rsidRDefault="00CF17E8" w:rsidP="00CF17E8">
      <w:pPr>
        <w:spacing w:line="240" w:lineRule="auto"/>
        <w:rPr>
          <w:rFonts w:cs="Arial"/>
        </w:rPr>
      </w:pPr>
      <w:r w:rsidRPr="00835581">
        <w:rPr>
          <w:rFonts w:cs="Arial"/>
        </w:rPr>
        <w:t>The principles and processes in obtaining informed consent are the same, but there are circumstances where it is not possible to gain consent via the usual practices:</w:t>
      </w:r>
    </w:p>
    <w:p w14:paraId="252DCE19" w14:textId="77777777" w:rsidR="00BC6EF0" w:rsidRPr="00835581" w:rsidRDefault="00BC6EF0" w:rsidP="00CF17E8">
      <w:pPr>
        <w:spacing w:line="240" w:lineRule="auto"/>
        <w:rPr>
          <w:rFonts w:cs="Arial"/>
        </w:rPr>
      </w:pPr>
    </w:p>
    <w:p w14:paraId="5A38A177" w14:textId="77777777" w:rsidR="00CF17E8" w:rsidRPr="00865580" w:rsidRDefault="00CF17E8" w:rsidP="00CF17E8">
      <w:pPr>
        <w:rPr>
          <w:b/>
        </w:rPr>
      </w:pPr>
      <w:bookmarkStart w:id="25" w:name="_Toc408410435"/>
      <w:bookmarkStart w:id="26" w:name="_Toc408495622"/>
      <w:bookmarkStart w:id="27" w:name="_Toc409431113"/>
      <w:r w:rsidRPr="00096CD0">
        <w:rPr>
          <w:b/>
        </w:rPr>
        <w:t>Delayed Consent</w:t>
      </w:r>
      <w:bookmarkEnd w:id="25"/>
      <w:bookmarkEnd w:id="26"/>
      <w:bookmarkEnd w:id="27"/>
    </w:p>
    <w:p w14:paraId="0D69672C" w14:textId="77777777" w:rsidR="00CF17E8" w:rsidRPr="00835581" w:rsidRDefault="00CF17E8" w:rsidP="00CF17E8">
      <w:pPr>
        <w:spacing w:line="240" w:lineRule="auto"/>
        <w:rPr>
          <w:rFonts w:cs="Arial"/>
        </w:rPr>
      </w:pPr>
      <w:r w:rsidRPr="00835581">
        <w:rPr>
          <w:rFonts w:cs="Arial"/>
        </w:rPr>
        <w:t>This usually applies in emergency situations, for instance:</w:t>
      </w:r>
    </w:p>
    <w:p w14:paraId="4C08D0D5" w14:textId="77777777" w:rsidR="00CF17E8" w:rsidRPr="00835581" w:rsidRDefault="00CF17E8" w:rsidP="00120028">
      <w:pPr>
        <w:numPr>
          <w:ilvl w:val="0"/>
          <w:numId w:val="5"/>
        </w:numPr>
        <w:spacing w:after="0" w:line="240" w:lineRule="auto"/>
        <w:rPr>
          <w:rFonts w:cs="Arial"/>
        </w:rPr>
      </w:pPr>
      <w:r w:rsidRPr="00835581">
        <w:rPr>
          <w:rFonts w:cs="Arial"/>
        </w:rPr>
        <w:t>At the road side in the event of an accident</w:t>
      </w:r>
    </w:p>
    <w:p w14:paraId="601228ED" w14:textId="77777777" w:rsidR="00CF17E8" w:rsidRPr="00835581" w:rsidRDefault="00CF17E8" w:rsidP="00120028">
      <w:pPr>
        <w:numPr>
          <w:ilvl w:val="0"/>
          <w:numId w:val="5"/>
        </w:numPr>
        <w:spacing w:after="0" w:line="240" w:lineRule="auto"/>
        <w:rPr>
          <w:rFonts w:cs="Arial"/>
        </w:rPr>
      </w:pPr>
      <w:r w:rsidRPr="00835581">
        <w:rPr>
          <w:rFonts w:cs="Arial"/>
        </w:rPr>
        <w:t>At a cardiac arrest</w:t>
      </w:r>
    </w:p>
    <w:p w14:paraId="6B39BA8E" w14:textId="77777777" w:rsidR="00CF17E8" w:rsidRPr="00835581" w:rsidRDefault="00CF17E8" w:rsidP="00120028">
      <w:pPr>
        <w:numPr>
          <w:ilvl w:val="0"/>
          <w:numId w:val="5"/>
        </w:numPr>
        <w:spacing w:after="0" w:line="240" w:lineRule="auto"/>
        <w:rPr>
          <w:rFonts w:cs="Arial"/>
        </w:rPr>
      </w:pPr>
      <w:r w:rsidRPr="00835581">
        <w:rPr>
          <w:rFonts w:cs="Arial"/>
        </w:rPr>
        <w:t>During the early stages of a person’s admission to an Accident and Emergency department.</w:t>
      </w:r>
    </w:p>
    <w:p w14:paraId="6A05A809" w14:textId="77777777" w:rsidR="00CF17E8" w:rsidRPr="00835581" w:rsidRDefault="00CF17E8" w:rsidP="00CF17E8">
      <w:pPr>
        <w:spacing w:line="240" w:lineRule="auto"/>
        <w:rPr>
          <w:rFonts w:cs="Arial"/>
          <w:b/>
        </w:rPr>
      </w:pPr>
    </w:p>
    <w:p w14:paraId="3EEFCCC6" w14:textId="77777777" w:rsidR="00CF17E8" w:rsidRPr="00835581" w:rsidRDefault="00CF17E8" w:rsidP="00CF17E8">
      <w:pPr>
        <w:spacing w:line="240" w:lineRule="auto"/>
        <w:rPr>
          <w:rFonts w:cs="Arial"/>
        </w:rPr>
      </w:pPr>
      <w:r w:rsidRPr="00835581">
        <w:rPr>
          <w:rFonts w:cs="Arial"/>
        </w:rPr>
        <w:t>In these circumstances a “Best Interest” decision will be taken by the emergency team involved.</w:t>
      </w:r>
    </w:p>
    <w:p w14:paraId="1CBC7C7C" w14:textId="77777777" w:rsidR="00CF17E8" w:rsidRPr="00865580" w:rsidRDefault="00CF17E8" w:rsidP="00CF17E8">
      <w:pPr>
        <w:rPr>
          <w:b/>
        </w:rPr>
      </w:pPr>
      <w:bookmarkStart w:id="28" w:name="_Toc408410436"/>
      <w:bookmarkStart w:id="29" w:name="_Toc408495623"/>
      <w:bookmarkStart w:id="30" w:name="_Toc409431114"/>
      <w:r w:rsidRPr="00096CD0">
        <w:rPr>
          <w:b/>
        </w:rPr>
        <w:t>Implied Informed Consent</w:t>
      </w:r>
      <w:bookmarkEnd w:id="28"/>
      <w:bookmarkEnd w:id="29"/>
      <w:bookmarkEnd w:id="30"/>
    </w:p>
    <w:p w14:paraId="6F0F7DBE" w14:textId="77777777" w:rsidR="00CF17E8" w:rsidRPr="00835581" w:rsidRDefault="00CF17E8" w:rsidP="00CF17E8">
      <w:pPr>
        <w:spacing w:line="240" w:lineRule="auto"/>
        <w:rPr>
          <w:rFonts w:cs="Arial"/>
        </w:rPr>
      </w:pPr>
      <w:r w:rsidRPr="00835581">
        <w:rPr>
          <w:rFonts w:cs="Arial"/>
        </w:rPr>
        <w:t xml:space="preserve">This may arise when express written and/or verbal consent is not given, </w:t>
      </w:r>
      <w:proofErr w:type="gramStart"/>
      <w:r w:rsidRPr="00835581">
        <w:rPr>
          <w:rFonts w:cs="Arial"/>
        </w:rPr>
        <w:t>e.g.</w:t>
      </w:r>
      <w:proofErr w:type="gramEnd"/>
      <w:r w:rsidRPr="00835581">
        <w:rPr>
          <w:rFonts w:cs="Arial"/>
        </w:rPr>
        <w:t xml:space="preserve"> when a </w:t>
      </w:r>
      <w:r w:rsidR="003F74AE">
        <w:rPr>
          <w:rFonts w:cs="Arial"/>
        </w:rPr>
        <w:t>service user</w:t>
      </w:r>
      <w:r w:rsidRPr="00835581">
        <w:rPr>
          <w:rFonts w:cs="Arial"/>
        </w:rPr>
        <w:t xml:space="preserve"> is asked to transfer from chair to bed; implied consent is assumed by their participation in the manoeuvre.</w:t>
      </w:r>
    </w:p>
    <w:p w14:paraId="029BBF04" w14:textId="77777777" w:rsidR="00CF17E8" w:rsidRPr="00865580" w:rsidRDefault="00CF17E8" w:rsidP="00CF17E8">
      <w:pPr>
        <w:rPr>
          <w:b/>
        </w:rPr>
      </w:pPr>
      <w:bookmarkStart w:id="31" w:name="_Toc408410437"/>
      <w:bookmarkStart w:id="32" w:name="_Toc408495624"/>
      <w:bookmarkStart w:id="33" w:name="_Toc409431115"/>
      <w:r w:rsidRPr="00096CD0">
        <w:rPr>
          <w:b/>
        </w:rPr>
        <w:t>The Process of Gaining Informed Consent</w:t>
      </w:r>
      <w:bookmarkEnd w:id="31"/>
      <w:bookmarkEnd w:id="32"/>
      <w:bookmarkEnd w:id="33"/>
    </w:p>
    <w:p w14:paraId="433F039B" w14:textId="77777777" w:rsidR="00CF17E8" w:rsidRPr="00835581" w:rsidRDefault="00CF17E8" w:rsidP="00CF17E8">
      <w:pPr>
        <w:spacing w:line="240" w:lineRule="auto"/>
        <w:rPr>
          <w:rFonts w:cs="Arial"/>
        </w:rPr>
      </w:pPr>
      <w:r w:rsidRPr="00835581">
        <w:rPr>
          <w:rFonts w:cs="Arial"/>
        </w:rPr>
        <w:t>Below are the factors to be considered when going through the process of obtaining informed consent.</w:t>
      </w:r>
    </w:p>
    <w:p w14:paraId="42C895FB" w14:textId="77777777" w:rsidR="00CF17E8" w:rsidRPr="00865580" w:rsidRDefault="00CF17E8" w:rsidP="00CF17E8">
      <w:pPr>
        <w:rPr>
          <w:b/>
        </w:rPr>
      </w:pPr>
      <w:bookmarkStart w:id="34" w:name="_Toc408410438"/>
      <w:bookmarkStart w:id="35" w:name="_Toc408495625"/>
      <w:bookmarkStart w:id="36" w:name="_Toc409431116"/>
      <w:r w:rsidRPr="00096CD0">
        <w:rPr>
          <w:b/>
        </w:rPr>
        <w:t>The Discussion</w:t>
      </w:r>
      <w:bookmarkEnd w:id="34"/>
      <w:bookmarkEnd w:id="35"/>
      <w:bookmarkEnd w:id="36"/>
    </w:p>
    <w:p w14:paraId="318FCC1E" w14:textId="30302161" w:rsidR="00CF17E8" w:rsidRPr="00835581" w:rsidRDefault="6E041AC4" w:rsidP="6E041AC4">
      <w:pPr>
        <w:spacing w:line="240" w:lineRule="auto"/>
        <w:rPr>
          <w:rFonts w:cs="Arial"/>
        </w:rPr>
      </w:pPr>
      <w:r w:rsidRPr="6E041AC4">
        <w:rPr>
          <w:rFonts w:cs="Arial"/>
        </w:rPr>
        <w:t>It is important to make members, their famil</w:t>
      </w:r>
      <w:r w:rsidRPr="00560580">
        <w:rPr>
          <w:rFonts w:cs="Arial"/>
          <w:highlight w:val="yellow"/>
        </w:rPr>
        <w:t>y</w:t>
      </w:r>
      <w:r w:rsidR="00560580" w:rsidRPr="00560580">
        <w:rPr>
          <w:rFonts w:cs="Arial"/>
          <w:highlight w:val="yellow"/>
        </w:rPr>
        <w:t>(</w:t>
      </w:r>
      <w:proofErr w:type="spellStart"/>
      <w:r w:rsidR="00560580" w:rsidRPr="00560580">
        <w:rPr>
          <w:rFonts w:cs="Arial"/>
          <w:highlight w:val="yellow"/>
        </w:rPr>
        <w:t>ies</w:t>
      </w:r>
      <w:proofErr w:type="spellEnd"/>
      <w:r w:rsidR="00560580" w:rsidRPr="00560580">
        <w:rPr>
          <w:rFonts w:cs="Arial"/>
          <w:highlight w:val="yellow"/>
        </w:rPr>
        <w:t>)</w:t>
      </w:r>
      <w:r w:rsidRPr="6E041AC4">
        <w:rPr>
          <w:rFonts w:cs="Arial"/>
        </w:rPr>
        <w:t xml:space="preserve"> or representative</w:t>
      </w:r>
      <w:r w:rsidR="00560580" w:rsidRPr="00560580">
        <w:rPr>
          <w:rFonts w:cs="Arial"/>
          <w:highlight w:val="yellow"/>
        </w:rPr>
        <w:t>(‘s)</w:t>
      </w:r>
      <w:r w:rsidRPr="6E041AC4">
        <w:rPr>
          <w:rFonts w:cs="Arial"/>
        </w:rPr>
        <w:t xml:space="preserve"> as comfortable as possible at the assessment of needs stage in order that they </w:t>
      </w:r>
      <w:proofErr w:type="gramStart"/>
      <w:r w:rsidRPr="6E041AC4">
        <w:rPr>
          <w:rFonts w:cs="Arial"/>
        </w:rPr>
        <w:t>are able to</w:t>
      </w:r>
      <w:proofErr w:type="gramEnd"/>
      <w:r w:rsidRPr="6E041AC4">
        <w:rPr>
          <w:rFonts w:cs="Arial"/>
        </w:rPr>
        <w:t xml:space="preserve"> concentrate and feel confident enough to ask questions. The location should be private and free of any interruptions, where possible.</w:t>
      </w:r>
      <w:r w:rsidR="00560580">
        <w:rPr>
          <w:rFonts w:cs="Arial"/>
        </w:rPr>
        <w:t xml:space="preserve"> </w:t>
      </w:r>
      <w:r w:rsidRPr="6E041AC4">
        <w:rPr>
          <w:rFonts w:cs="Arial"/>
        </w:rPr>
        <w:t>Where necessary, repeat, explain and re-enforce the information given. Always ask questions to check their understanding of the information.</w:t>
      </w:r>
    </w:p>
    <w:p w14:paraId="0D8077CE" w14:textId="4093F374" w:rsidR="00CF17E8" w:rsidRDefault="6E041AC4" w:rsidP="6E041AC4">
      <w:pPr>
        <w:spacing w:line="240" w:lineRule="auto"/>
        <w:rPr>
          <w:rFonts w:cs="Arial"/>
        </w:rPr>
      </w:pPr>
      <w:r w:rsidRPr="6E041AC4">
        <w:rPr>
          <w:rFonts w:cs="Arial"/>
        </w:rPr>
        <w:t xml:space="preserve">It is also important to think about the timing and context of the discussion, </w:t>
      </w:r>
      <w:proofErr w:type="gramStart"/>
      <w:r w:rsidRPr="6E041AC4">
        <w:rPr>
          <w:rFonts w:cs="Arial"/>
        </w:rPr>
        <w:t>e.g.</w:t>
      </w:r>
      <w:proofErr w:type="gramEnd"/>
      <w:r w:rsidRPr="6E041AC4">
        <w:rPr>
          <w:rFonts w:cs="Arial"/>
        </w:rPr>
        <w:t xml:space="preserve"> members who have just been given news of a life-threatening illness are unlikely to be able to make informed decisions regarding, care, treatment or support whilst struggling to come to terms with their situation. Such issues will need to be considered at different intervals.</w:t>
      </w:r>
      <w:bookmarkStart w:id="37" w:name="_Toc408410439"/>
      <w:bookmarkStart w:id="38" w:name="_Toc408495626"/>
      <w:bookmarkStart w:id="39" w:name="_Toc409431117"/>
    </w:p>
    <w:p w14:paraId="7BB6D897" w14:textId="77777777" w:rsidR="00CF17E8" w:rsidRPr="00865580" w:rsidRDefault="00CF17E8" w:rsidP="00CF17E8">
      <w:pPr>
        <w:spacing w:line="240" w:lineRule="auto"/>
        <w:rPr>
          <w:rFonts w:cs="Arial"/>
        </w:rPr>
      </w:pPr>
      <w:r w:rsidRPr="00096CD0">
        <w:rPr>
          <w:b/>
        </w:rPr>
        <w:t>Acknowledging Diversity</w:t>
      </w:r>
      <w:bookmarkEnd w:id="37"/>
      <w:bookmarkEnd w:id="38"/>
      <w:bookmarkEnd w:id="39"/>
    </w:p>
    <w:p w14:paraId="0B3DA45D" w14:textId="77777777" w:rsidR="00CF17E8" w:rsidRPr="00865580" w:rsidRDefault="00CF17E8" w:rsidP="00CF17E8">
      <w:pPr>
        <w:spacing w:line="240" w:lineRule="auto"/>
        <w:rPr>
          <w:rFonts w:cs="Arial"/>
        </w:rPr>
      </w:pPr>
      <w:r w:rsidRPr="00835581">
        <w:rPr>
          <w:rFonts w:cs="Arial"/>
        </w:rPr>
        <w:t xml:space="preserve">It is important to acknowledge diversity alongside other factors when gaining informed consent. Asking questions can help to understand </w:t>
      </w:r>
      <w:r w:rsidR="003F74AE">
        <w:rPr>
          <w:rFonts w:cs="Arial"/>
        </w:rPr>
        <w:t>service user</w:t>
      </w:r>
      <w:r w:rsidRPr="00835581">
        <w:rPr>
          <w:rFonts w:cs="Arial"/>
        </w:rPr>
        <w:t>’s needs and how these can best be met.</w:t>
      </w:r>
      <w:bookmarkStart w:id="40" w:name="_Toc408410440"/>
      <w:bookmarkStart w:id="41" w:name="_Toc408495627"/>
    </w:p>
    <w:p w14:paraId="602E1C16" w14:textId="77777777" w:rsidR="00CF17E8" w:rsidRPr="00865580" w:rsidRDefault="00CF17E8" w:rsidP="00CF17E8">
      <w:pPr>
        <w:rPr>
          <w:b/>
        </w:rPr>
      </w:pPr>
      <w:bookmarkStart w:id="42" w:name="_Toc409431118"/>
      <w:r w:rsidRPr="00096CD0">
        <w:rPr>
          <w:b/>
        </w:rPr>
        <w:t>Re-enforcing the discussion</w:t>
      </w:r>
      <w:bookmarkEnd w:id="40"/>
      <w:bookmarkEnd w:id="41"/>
      <w:bookmarkEnd w:id="42"/>
    </w:p>
    <w:p w14:paraId="0F175CD2" w14:textId="22128065" w:rsidR="00CF17E8" w:rsidRPr="00835581" w:rsidRDefault="6E041AC4" w:rsidP="6E041AC4">
      <w:pPr>
        <w:spacing w:line="240" w:lineRule="auto"/>
        <w:rPr>
          <w:rFonts w:cs="Arial"/>
        </w:rPr>
      </w:pPr>
      <w:r w:rsidRPr="6E041AC4">
        <w:rPr>
          <w:rFonts w:cs="Arial"/>
        </w:rPr>
        <w:t xml:space="preserve">It is not enough to give members a verbal explanation of their care, treatment or </w:t>
      </w:r>
      <w:proofErr w:type="gramStart"/>
      <w:r w:rsidRPr="6E041AC4">
        <w:rPr>
          <w:rFonts w:cs="Arial"/>
        </w:rPr>
        <w:t>support</w:t>
      </w:r>
      <w:r w:rsidRPr="00FA4EEF">
        <w:rPr>
          <w:rFonts w:cs="Arial"/>
          <w:highlight w:val="yellow"/>
        </w:rPr>
        <w:t xml:space="preserve">; </w:t>
      </w:r>
      <w:r w:rsidR="00FA4EEF">
        <w:rPr>
          <w:rFonts w:cs="Arial"/>
          <w:highlight w:val="yellow"/>
        </w:rPr>
        <w:t xml:space="preserve">  </w:t>
      </w:r>
      <w:proofErr w:type="gramEnd"/>
      <w:r w:rsidR="00FA4EEF">
        <w:rPr>
          <w:rFonts w:cs="Arial"/>
          <w:highlight w:val="yellow"/>
        </w:rPr>
        <w:t xml:space="preserve">                  </w:t>
      </w:r>
      <w:r w:rsidRPr="00FA4EEF">
        <w:rPr>
          <w:rFonts w:cs="Arial"/>
          <w:highlight w:val="yellow"/>
        </w:rPr>
        <w:t>t</w:t>
      </w:r>
      <w:r w:rsidR="00FA4EEF" w:rsidRPr="00FA4EEF">
        <w:rPr>
          <w:rFonts w:cs="Arial"/>
          <w:highlight w:val="yellow"/>
        </w:rPr>
        <w:t xml:space="preserve">(. </w:t>
      </w:r>
      <w:proofErr w:type="gramStart"/>
      <w:r w:rsidR="00FA4EEF" w:rsidRPr="00FA4EEF">
        <w:rPr>
          <w:rFonts w:cs="Arial"/>
          <w:highlight w:val="yellow"/>
        </w:rPr>
        <w:t>T)</w:t>
      </w:r>
      <w:r w:rsidRPr="6E041AC4">
        <w:rPr>
          <w:rFonts w:cs="Arial"/>
        </w:rPr>
        <w:t>heir</w:t>
      </w:r>
      <w:proofErr w:type="gramEnd"/>
      <w:r w:rsidRPr="6E041AC4">
        <w:rPr>
          <w:rFonts w:cs="Arial"/>
        </w:rPr>
        <w:t xml:space="preserve"> understanding of the</w:t>
      </w:r>
      <w:r w:rsidRPr="008424C2">
        <w:rPr>
          <w:rFonts w:cs="Arial"/>
          <w:highlight w:val="red"/>
        </w:rPr>
        <w:t>,</w:t>
      </w:r>
      <w:r w:rsidRPr="6E041AC4">
        <w:rPr>
          <w:rFonts w:cs="Arial"/>
        </w:rPr>
        <w:t xml:space="preserve"> frequently complex and detailed</w:t>
      </w:r>
      <w:r w:rsidRPr="008424C2">
        <w:rPr>
          <w:rFonts w:cs="Arial"/>
          <w:highlight w:val="red"/>
        </w:rPr>
        <w:t>,</w:t>
      </w:r>
      <w:r w:rsidRPr="6E041AC4">
        <w:rPr>
          <w:rFonts w:cs="Arial"/>
        </w:rPr>
        <w:t xml:space="preserve"> information which they have been given must also be ensured. To this end, it may be necessary to prepare information material in different formats and languages, where appropriate.</w:t>
      </w:r>
    </w:p>
    <w:p w14:paraId="059FC74D" w14:textId="77777777" w:rsidR="00CF17E8" w:rsidRPr="00865580" w:rsidRDefault="00CF17E8" w:rsidP="00CF17E8">
      <w:pPr>
        <w:rPr>
          <w:b/>
        </w:rPr>
      </w:pPr>
      <w:bookmarkStart w:id="43" w:name="_Toc408410441"/>
      <w:bookmarkStart w:id="44" w:name="_Toc408495628"/>
      <w:bookmarkStart w:id="45" w:name="_Toc409431119"/>
      <w:r w:rsidRPr="00096CD0">
        <w:rPr>
          <w:b/>
        </w:rPr>
        <w:t>Consent Form</w:t>
      </w:r>
      <w:bookmarkEnd w:id="43"/>
      <w:bookmarkEnd w:id="44"/>
      <w:bookmarkEnd w:id="45"/>
    </w:p>
    <w:p w14:paraId="40F9DB6C" w14:textId="1EF97DB6" w:rsidR="00CF17E8" w:rsidRPr="00835581" w:rsidRDefault="6E041AC4" w:rsidP="6E041AC4">
      <w:pPr>
        <w:spacing w:line="240" w:lineRule="auto"/>
        <w:rPr>
          <w:rFonts w:cs="Arial"/>
        </w:rPr>
      </w:pPr>
      <w:r w:rsidRPr="6E041AC4">
        <w:rPr>
          <w:rFonts w:cs="Arial"/>
        </w:rPr>
        <w:t>The signing of such a form has become standard practice in confirming that the service user has freely given their informed consent to care, treatment or support they receive. Members should not be asked to sign the consent form until they have been given adequate information and time to consider their decision. It is important to explain verbally all aspects of their care, treatment or support and check their understanding.</w:t>
      </w:r>
    </w:p>
    <w:p w14:paraId="6D266ECC" w14:textId="7A851923" w:rsidR="00CF17E8" w:rsidRPr="00835581" w:rsidRDefault="6E041AC4" w:rsidP="6E041AC4">
      <w:pPr>
        <w:spacing w:line="240" w:lineRule="auto"/>
        <w:rPr>
          <w:rFonts w:cs="Arial"/>
        </w:rPr>
      </w:pPr>
      <w:r w:rsidRPr="6E041AC4">
        <w:rPr>
          <w:rFonts w:cs="Arial"/>
        </w:rPr>
        <w:t xml:space="preserve">During the assessment of needs </w:t>
      </w:r>
      <w:proofErr w:type="gramStart"/>
      <w:r w:rsidRPr="6E041AC4">
        <w:rPr>
          <w:rFonts w:cs="Arial"/>
        </w:rPr>
        <w:t>process</w:t>
      </w:r>
      <w:proofErr w:type="gramEnd"/>
      <w:r w:rsidRPr="6E041AC4">
        <w:rPr>
          <w:rFonts w:cs="Arial"/>
        </w:rPr>
        <w:t xml:space="preserve"> it is important to engage with the members, their families or representatives in a meaningful and professional manner in order to make the process work</w:t>
      </w:r>
    </w:p>
    <w:p w14:paraId="5C24D619" w14:textId="18929392" w:rsidR="00CF17E8" w:rsidRPr="00865580" w:rsidRDefault="6E041AC4" w:rsidP="6E041AC4">
      <w:pPr>
        <w:rPr>
          <w:b/>
          <w:bCs/>
        </w:rPr>
      </w:pPr>
      <w:bookmarkStart w:id="46" w:name="_Toc408410442"/>
      <w:bookmarkStart w:id="47" w:name="_Toc408495629"/>
      <w:bookmarkStart w:id="48" w:name="_Toc409431120"/>
      <w:r w:rsidRPr="6E041AC4">
        <w:rPr>
          <w:b/>
          <w:bCs/>
        </w:rPr>
        <w:t>Members</w:t>
      </w:r>
      <w:bookmarkEnd w:id="46"/>
      <w:bookmarkEnd w:id="47"/>
      <w:bookmarkEnd w:id="48"/>
    </w:p>
    <w:p w14:paraId="5F0D8730" w14:textId="77777777" w:rsidR="00CF17E8" w:rsidRPr="00835581" w:rsidRDefault="00CF17E8" w:rsidP="00CF17E8">
      <w:pPr>
        <w:spacing w:line="240" w:lineRule="auto"/>
        <w:rPr>
          <w:rFonts w:cs="Arial"/>
        </w:rPr>
      </w:pPr>
      <w:r w:rsidRPr="00835581">
        <w:rPr>
          <w:rFonts w:cs="Arial"/>
        </w:rPr>
        <w:t>The “Statement of Government policy on Adult Safeguarding”, issued by the Department of Health, introduces 6 principles of safeguarding adults.</w:t>
      </w:r>
    </w:p>
    <w:p w14:paraId="17EA973D" w14:textId="77777777" w:rsidR="00CF17E8" w:rsidRPr="00835581" w:rsidRDefault="00CF17E8" w:rsidP="00CF17E8">
      <w:pPr>
        <w:spacing w:line="240" w:lineRule="auto"/>
        <w:rPr>
          <w:rFonts w:cs="Arial"/>
        </w:rPr>
      </w:pPr>
      <w:r w:rsidRPr="00835581">
        <w:rPr>
          <w:rFonts w:cs="Arial"/>
        </w:rPr>
        <w:t>The principle of empowerment is based on a presumption of person-led decision making and informed consent. This new principle should be p</w:t>
      </w:r>
      <w:r>
        <w:rPr>
          <w:rFonts w:cs="Arial"/>
        </w:rPr>
        <w:t>rioritis</w:t>
      </w:r>
      <w:r w:rsidRPr="00835581">
        <w:rPr>
          <w:rFonts w:cs="Arial"/>
        </w:rPr>
        <w:t xml:space="preserve">ed in working with adults. This includes </w:t>
      </w:r>
      <w:proofErr w:type="gramStart"/>
      <w:r w:rsidRPr="00835581">
        <w:rPr>
          <w:rFonts w:cs="Arial"/>
        </w:rPr>
        <w:t>safeguarding, but</w:t>
      </w:r>
      <w:proofErr w:type="gramEnd"/>
      <w:r w:rsidRPr="00835581">
        <w:rPr>
          <w:rFonts w:cs="Arial"/>
        </w:rPr>
        <w:t xml:space="preserve"> must also be seen as the individual being able to take person led decisions, and that their views and wishes are to be listened to and respected. Where lack of capacity is an issue the </w:t>
      </w:r>
      <w:r w:rsidRPr="00835581">
        <w:rPr>
          <w:rFonts w:cs="Arial"/>
          <w:i/>
        </w:rPr>
        <w:t>Mental Capacity Act 2005</w:t>
      </w:r>
      <w:r>
        <w:rPr>
          <w:rFonts w:cs="Arial"/>
        </w:rPr>
        <w:t xml:space="preserve"> Code of P</w:t>
      </w:r>
      <w:r w:rsidRPr="00835581">
        <w:rPr>
          <w:rFonts w:cs="Arial"/>
        </w:rPr>
        <w:t>ractice must be observed.</w:t>
      </w:r>
    </w:p>
    <w:p w14:paraId="39971ED1" w14:textId="2742FE3F" w:rsidR="00CF17E8" w:rsidRPr="00835581" w:rsidRDefault="00CF17E8" w:rsidP="00CF17E8">
      <w:pPr>
        <w:spacing w:line="240" w:lineRule="auto"/>
        <w:rPr>
          <w:rFonts w:cs="Arial"/>
        </w:rPr>
      </w:pPr>
      <w:r w:rsidRPr="00835581">
        <w:rPr>
          <w:rFonts w:cs="Arial"/>
        </w:rPr>
        <w:t xml:space="preserve">Assessing a </w:t>
      </w:r>
      <w:r w:rsidR="003F74AE">
        <w:rPr>
          <w:rFonts w:cs="Arial"/>
        </w:rPr>
        <w:t>service user</w:t>
      </w:r>
      <w:r w:rsidRPr="00835581">
        <w:rPr>
          <w:rFonts w:cs="Arial"/>
        </w:rPr>
        <w:t xml:space="preserve">’s capacity to give informed consent autonomously is an essential part of the informed consent process. This can prove challenging, however, so it is important to involve multi-agency partners and others who know the </w:t>
      </w:r>
      <w:r w:rsidR="003F74AE" w:rsidRPr="00230B0D">
        <w:rPr>
          <w:rFonts w:cs="Arial"/>
          <w:highlight w:val="yellow"/>
        </w:rPr>
        <w:t>service user</w:t>
      </w:r>
      <w:r w:rsidR="00230B0D" w:rsidRPr="00230B0D">
        <w:rPr>
          <w:rFonts w:cs="Arial"/>
          <w:highlight w:val="yellow"/>
        </w:rPr>
        <w:t>(member)</w:t>
      </w:r>
      <w:r w:rsidRPr="00835581">
        <w:rPr>
          <w:rFonts w:cs="Arial"/>
        </w:rPr>
        <w:t xml:space="preserve"> in making such decisions. It is important to remember that the </w:t>
      </w:r>
      <w:r w:rsidRPr="00835581">
        <w:rPr>
          <w:rFonts w:cs="Arial"/>
          <w:i/>
        </w:rPr>
        <w:t>Mental Capacity Act 2005</w:t>
      </w:r>
      <w:r w:rsidRPr="00835581">
        <w:rPr>
          <w:rFonts w:cs="Arial"/>
        </w:rPr>
        <w:t xml:space="preserve"> begins with the presumption of competence, and that capacity can fluctuate and be affected according to the </w:t>
      </w:r>
      <w:proofErr w:type="gramStart"/>
      <w:r w:rsidRPr="00835581">
        <w:rPr>
          <w:rFonts w:cs="Arial"/>
        </w:rPr>
        <w:t>manner in which</w:t>
      </w:r>
      <w:proofErr w:type="gramEnd"/>
      <w:r w:rsidRPr="00835581">
        <w:rPr>
          <w:rFonts w:cs="Arial"/>
        </w:rPr>
        <w:t xml:space="preserve"> information is conveyed.</w:t>
      </w:r>
    </w:p>
    <w:p w14:paraId="3A814151" w14:textId="77777777" w:rsidR="00CF17E8" w:rsidRPr="00835581" w:rsidRDefault="00CF17E8" w:rsidP="00CF17E8">
      <w:pPr>
        <w:spacing w:line="240" w:lineRule="auto"/>
        <w:rPr>
          <w:rFonts w:cs="Arial"/>
        </w:rPr>
      </w:pPr>
      <w:r w:rsidRPr="00835581">
        <w:rPr>
          <w:rFonts w:cs="Arial"/>
        </w:rPr>
        <w:t>The provision of accurate and meaningful information is at the very heart of acquiring informed consent.</w:t>
      </w:r>
    </w:p>
    <w:p w14:paraId="33325DF1" w14:textId="3F68045D" w:rsidR="00CF17E8" w:rsidRPr="00835581" w:rsidRDefault="6E041AC4" w:rsidP="6E041AC4">
      <w:pPr>
        <w:spacing w:line="240" w:lineRule="auto"/>
        <w:rPr>
          <w:rFonts w:cs="Arial"/>
        </w:rPr>
      </w:pPr>
      <w:r w:rsidRPr="6E041AC4">
        <w:rPr>
          <w:rFonts w:cs="Arial"/>
        </w:rPr>
        <w:t>Below are factors to consider when working with members or groups who may be considered vulnerable.</w:t>
      </w:r>
    </w:p>
    <w:p w14:paraId="09F611F5" w14:textId="77777777" w:rsidR="00CF17E8" w:rsidRPr="00865580" w:rsidRDefault="00CF17E8" w:rsidP="00CF17E8">
      <w:pPr>
        <w:rPr>
          <w:b/>
        </w:rPr>
      </w:pPr>
      <w:bookmarkStart w:id="49" w:name="_Toc408410443"/>
      <w:bookmarkStart w:id="50" w:name="_Toc408495630"/>
      <w:bookmarkStart w:id="51" w:name="_Toc409431121"/>
      <w:r w:rsidRPr="00096CD0">
        <w:rPr>
          <w:b/>
        </w:rPr>
        <w:t>Recognising Special Needs</w:t>
      </w:r>
      <w:bookmarkEnd w:id="49"/>
      <w:bookmarkEnd w:id="50"/>
      <w:bookmarkEnd w:id="51"/>
    </w:p>
    <w:p w14:paraId="23E074C2" w14:textId="300B06AD" w:rsidR="00CF17E8" w:rsidRPr="00835581" w:rsidRDefault="6E041AC4" w:rsidP="6E041AC4">
      <w:pPr>
        <w:spacing w:line="240" w:lineRule="auto"/>
        <w:rPr>
          <w:rFonts w:cs="Arial"/>
        </w:rPr>
      </w:pPr>
      <w:r w:rsidRPr="45B08A06">
        <w:rPr>
          <w:rFonts w:cs="Arial"/>
        </w:rPr>
        <w:t xml:space="preserve">Members can have a range of special needs which </w:t>
      </w:r>
      <w:proofErr w:type="gramStart"/>
      <w:r w:rsidRPr="45B08A06">
        <w:rPr>
          <w:rFonts w:cs="Arial"/>
        </w:rPr>
        <w:t xml:space="preserve">should </w:t>
      </w:r>
      <w:r w:rsidRPr="00C801E0">
        <w:rPr>
          <w:rFonts w:cs="Arial"/>
          <w:highlight w:val="red"/>
        </w:rPr>
        <w:t>to</w:t>
      </w:r>
      <w:proofErr w:type="gramEnd"/>
      <w:r w:rsidRPr="45B08A06">
        <w:rPr>
          <w:rFonts w:cs="Arial"/>
        </w:rPr>
        <w:t xml:space="preserve"> be taken into account, but which are not always obvious: some members may conceal them; some members with reading or writing difficulties may conceal their limitations due to embarrassment (e.g. “I’ve forgotten my glasses, I will read it later”) while others may have visual or hearing impairment, illness</w:t>
      </w:r>
      <w:r w:rsidR="00C801E0" w:rsidRPr="00C801E0">
        <w:rPr>
          <w:rFonts w:cs="Arial"/>
          <w:highlight w:val="green"/>
        </w:rPr>
        <w:t>,</w:t>
      </w:r>
      <w:r w:rsidRPr="45B08A06">
        <w:rPr>
          <w:rFonts w:cs="Arial"/>
        </w:rPr>
        <w:t xml:space="preserve"> </w:t>
      </w:r>
      <w:r w:rsidRPr="00C801E0">
        <w:rPr>
          <w:rFonts w:cs="Arial"/>
          <w:highlight w:val="red"/>
        </w:rPr>
        <w:t>or</w:t>
      </w:r>
      <w:r w:rsidRPr="45B08A06">
        <w:rPr>
          <w:rFonts w:cs="Arial"/>
        </w:rPr>
        <w:t xml:space="preserve"> emotional difficulties</w:t>
      </w:r>
      <w:r w:rsidR="4E2BAE35" w:rsidRPr="45B08A06">
        <w:rPr>
          <w:rFonts w:cs="Arial"/>
        </w:rPr>
        <w:t xml:space="preserve"> or lea</w:t>
      </w:r>
      <w:r w:rsidR="00C801E0" w:rsidRPr="00C801E0">
        <w:rPr>
          <w:rFonts w:cs="Arial"/>
          <w:highlight w:val="green"/>
        </w:rPr>
        <w:t>r</w:t>
      </w:r>
      <w:r w:rsidR="4E2BAE35" w:rsidRPr="45B08A06">
        <w:rPr>
          <w:rFonts w:cs="Arial"/>
        </w:rPr>
        <w:t>ning difficulties.</w:t>
      </w:r>
    </w:p>
    <w:p w14:paraId="60394921" w14:textId="77777777" w:rsidR="00CF17E8" w:rsidRPr="00835581" w:rsidRDefault="00CF17E8" w:rsidP="00CF17E8">
      <w:pPr>
        <w:spacing w:line="240" w:lineRule="auto"/>
        <w:rPr>
          <w:rFonts w:cs="Arial"/>
        </w:rPr>
      </w:pPr>
      <w:r w:rsidRPr="00835581">
        <w:rPr>
          <w:rFonts w:cs="Arial"/>
        </w:rPr>
        <w:t xml:space="preserve">It is vital therefore to explore the </w:t>
      </w:r>
      <w:r w:rsidR="003F74AE">
        <w:rPr>
          <w:rFonts w:cs="Arial"/>
        </w:rPr>
        <w:t>service user</w:t>
      </w:r>
      <w:r w:rsidRPr="00835581">
        <w:rPr>
          <w:rFonts w:cs="Arial"/>
        </w:rPr>
        <w:t xml:space="preserve">’s abilities sensitively. The ability to process information can slow with age so older people should be given plenty of time and opportunity to ask questions, and to think about whether they desire the care, </w:t>
      </w:r>
      <w:proofErr w:type="gramStart"/>
      <w:r w:rsidRPr="00835581">
        <w:rPr>
          <w:rFonts w:cs="Arial"/>
        </w:rPr>
        <w:t>treatment</w:t>
      </w:r>
      <w:proofErr w:type="gramEnd"/>
      <w:r w:rsidRPr="00835581">
        <w:rPr>
          <w:rFonts w:cs="Arial"/>
        </w:rPr>
        <w:t xml:space="preserve"> and support. It is important, however, that older people are encouraged to participate fully in the consent process.</w:t>
      </w:r>
    </w:p>
    <w:p w14:paraId="319FFEE0" w14:textId="77777777" w:rsidR="00CF17E8" w:rsidRPr="00865580" w:rsidRDefault="00CF17E8" w:rsidP="00CF17E8">
      <w:pPr>
        <w:rPr>
          <w:b/>
        </w:rPr>
      </w:pPr>
      <w:bookmarkStart w:id="52" w:name="_Toc408410444"/>
      <w:bookmarkStart w:id="53" w:name="_Toc408495631"/>
      <w:bookmarkStart w:id="54" w:name="_Toc409431122"/>
      <w:r w:rsidRPr="00096CD0">
        <w:rPr>
          <w:b/>
        </w:rPr>
        <w:t>Capacity to Decide</w:t>
      </w:r>
      <w:bookmarkEnd w:id="52"/>
      <w:bookmarkEnd w:id="53"/>
      <w:bookmarkEnd w:id="54"/>
    </w:p>
    <w:p w14:paraId="41FB6B63" w14:textId="612B88D2" w:rsidR="00CF17E8" w:rsidRDefault="6E041AC4" w:rsidP="6E041AC4">
      <w:pPr>
        <w:spacing w:line="240" w:lineRule="auto"/>
        <w:rPr>
          <w:rFonts w:cs="Arial"/>
          <w:b/>
          <w:bCs/>
        </w:rPr>
      </w:pPr>
      <w:r w:rsidRPr="6E041AC4">
        <w:rPr>
          <w:rFonts w:cs="Arial"/>
        </w:rPr>
        <w:t xml:space="preserve">Members can only give consent if they </w:t>
      </w:r>
      <w:proofErr w:type="gramStart"/>
      <w:r w:rsidRPr="6E041AC4">
        <w:rPr>
          <w:rFonts w:cs="Arial"/>
        </w:rPr>
        <w:t>are capable of choosing</w:t>
      </w:r>
      <w:proofErr w:type="gramEnd"/>
      <w:r w:rsidRPr="6E041AC4">
        <w:rPr>
          <w:rFonts w:cs="Arial"/>
        </w:rPr>
        <w:t xml:space="preserve"> between alternative courses of action. This means they must be able to understand the information given to them. Where a </w:t>
      </w:r>
      <w:r w:rsidRPr="006F14C3">
        <w:rPr>
          <w:rFonts w:cs="Arial"/>
          <w:highlight w:val="yellow"/>
        </w:rPr>
        <w:t>service user</w:t>
      </w:r>
      <w:r w:rsidR="006F14C3" w:rsidRPr="006F14C3">
        <w:rPr>
          <w:rFonts w:cs="Arial"/>
          <w:highlight w:val="yellow"/>
        </w:rPr>
        <w:t>(member)</w:t>
      </w:r>
      <w:r w:rsidRPr="6E041AC4">
        <w:rPr>
          <w:rFonts w:cs="Arial"/>
        </w:rPr>
        <w:t xml:space="preserve"> lacks capacity</w:t>
      </w:r>
      <w:r w:rsidR="006F14C3" w:rsidRPr="006F14C3">
        <w:rPr>
          <w:rFonts w:cs="Arial"/>
          <w:highlight w:val="green"/>
        </w:rPr>
        <w:t>,</w:t>
      </w:r>
      <w:r w:rsidRPr="6E041AC4">
        <w:rPr>
          <w:rFonts w:cs="Arial"/>
        </w:rPr>
        <w:t xml:space="preserve"> a best-interest decision involving those who know the </w:t>
      </w:r>
      <w:r w:rsidR="006F14C3" w:rsidRPr="006F14C3">
        <w:rPr>
          <w:rFonts w:cs="Arial"/>
          <w:highlight w:val="yellow"/>
        </w:rPr>
        <w:t>service user(member)</w:t>
      </w:r>
      <w:r w:rsidR="006F14C3">
        <w:rPr>
          <w:rFonts w:cs="Arial"/>
        </w:rPr>
        <w:t xml:space="preserve"> </w:t>
      </w:r>
      <w:r w:rsidRPr="6E041AC4">
        <w:rPr>
          <w:rFonts w:cs="Arial"/>
        </w:rPr>
        <w:t xml:space="preserve">should be instigated using the </w:t>
      </w:r>
      <w:r w:rsidRPr="6E041AC4">
        <w:rPr>
          <w:rFonts w:cs="Arial"/>
          <w:i/>
          <w:iCs/>
        </w:rPr>
        <w:t>Mental Capacity Act 2005</w:t>
      </w:r>
      <w:r w:rsidRPr="6E041AC4">
        <w:rPr>
          <w:rFonts w:cs="Arial"/>
        </w:rPr>
        <w:t xml:space="preserve"> Code of Practice and the local Mental Capacity team guidance</w:t>
      </w:r>
      <w:r w:rsidR="00C82D55">
        <w:rPr>
          <w:rFonts w:cs="Arial"/>
        </w:rPr>
        <w:t>.</w:t>
      </w:r>
      <w:r w:rsidRPr="6E041AC4">
        <w:rPr>
          <w:rFonts w:cs="Arial"/>
          <w:b/>
          <w:bCs/>
        </w:rPr>
        <w:t xml:space="preserve"> </w:t>
      </w:r>
      <w:r w:rsidRPr="006F14C3">
        <w:rPr>
          <w:rFonts w:cs="Arial"/>
          <w:b/>
          <w:bCs/>
          <w:highlight w:val="red"/>
        </w:rPr>
        <w:t>[INSERT HERE YOUR MCA TEAM CONTACT DETAILS]</w:t>
      </w:r>
    </w:p>
    <w:p w14:paraId="75C7CBD4" w14:textId="1BAAC193" w:rsidR="00C82D55" w:rsidRPr="00C70C5D" w:rsidRDefault="00C82D55" w:rsidP="6E041AC4">
      <w:pPr>
        <w:spacing w:line="240" w:lineRule="auto"/>
        <w:rPr>
          <w:rFonts w:cs="Arial"/>
          <w:highlight w:val="green"/>
        </w:rPr>
      </w:pPr>
      <w:r w:rsidRPr="00C70C5D">
        <w:rPr>
          <w:rFonts w:cs="Arial"/>
          <w:highlight w:val="green"/>
        </w:rPr>
        <w:t>Worcestershire County Council</w:t>
      </w:r>
    </w:p>
    <w:p w14:paraId="67B17C00" w14:textId="0B4946B0" w:rsidR="00C82D55" w:rsidRPr="00C70C5D" w:rsidRDefault="00C82D55" w:rsidP="6E041AC4">
      <w:pPr>
        <w:spacing w:line="240" w:lineRule="auto"/>
        <w:rPr>
          <w:rFonts w:cs="Arial"/>
          <w:highlight w:val="green"/>
        </w:rPr>
      </w:pPr>
      <w:r w:rsidRPr="00C70C5D">
        <w:rPr>
          <w:rFonts w:cs="Arial"/>
          <w:highlight w:val="green"/>
        </w:rPr>
        <w:t>MCA/DOLS Team</w:t>
      </w:r>
    </w:p>
    <w:p w14:paraId="731D3F46" w14:textId="0A175076" w:rsidR="00C82D55" w:rsidRPr="00C70C5D" w:rsidRDefault="00C70C5D" w:rsidP="6E041AC4">
      <w:pPr>
        <w:spacing w:line="240" w:lineRule="auto"/>
        <w:rPr>
          <w:rFonts w:cs="Arial"/>
          <w:highlight w:val="green"/>
        </w:rPr>
      </w:pPr>
      <w:r w:rsidRPr="00C70C5D">
        <w:rPr>
          <w:rFonts w:cs="Arial"/>
          <w:highlight w:val="green"/>
        </w:rPr>
        <w:t>01905 822624</w:t>
      </w:r>
    </w:p>
    <w:p w14:paraId="4AA8A4A8" w14:textId="1F2EA764" w:rsidR="00C70C5D" w:rsidRPr="00C70C5D" w:rsidRDefault="00C70C5D" w:rsidP="6E041AC4">
      <w:pPr>
        <w:spacing w:line="240" w:lineRule="auto"/>
        <w:rPr>
          <w:rFonts w:cs="Arial"/>
        </w:rPr>
      </w:pPr>
      <w:r w:rsidRPr="00C70C5D">
        <w:rPr>
          <w:rFonts w:cs="Arial"/>
          <w:highlight w:val="green"/>
        </w:rPr>
        <w:t>WWW.Worcestershire.gov.uk</w:t>
      </w:r>
    </w:p>
    <w:p w14:paraId="44C96572" w14:textId="77777777" w:rsidR="00CF17E8" w:rsidRPr="00865580" w:rsidRDefault="003F74AE" w:rsidP="00CF17E8">
      <w:pPr>
        <w:rPr>
          <w:b/>
        </w:rPr>
      </w:pPr>
      <w:bookmarkStart w:id="55" w:name="_Toc408410445"/>
      <w:bookmarkStart w:id="56" w:name="_Toc408495632"/>
      <w:bookmarkStart w:id="57" w:name="_Toc409431123"/>
      <w:r>
        <w:rPr>
          <w:b/>
        </w:rPr>
        <w:t>Service user</w:t>
      </w:r>
      <w:r w:rsidR="00E514CF">
        <w:rPr>
          <w:b/>
        </w:rPr>
        <w:t xml:space="preserve"> </w:t>
      </w:r>
      <w:r w:rsidR="00CF17E8" w:rsidRPr="00096CD0">
        <w:rPr>
          <w:b/>
        </w:rPr>
        <w:t>with Learning Disabilit</w:t>
      </w:r>
      <w:bookmarkEnd w:id="55"/>
      <w:bookmarkEnd w:id="56"/>
      <w:r w:rsidR="00CF17E8" w:rsidRPr="00096CD0">
        <w:rPr>
          <w:b/>
        </w:rPr>
        <w:t>ies</w:t>
      </w:r>
      <w:bookmarkEnd w:id="57"/>
    </w:p>
    <w:p w14:paraId="673F1D6C" w14:textId="3D92FE80" w:rsidR="00CF17E8" w:rsidRPr="00835581" w:rsidRDefault="6E041AC4" w:rsidP="6E041AC4">
      <w:pPr>
        <w:spacing w:line="240" w:lineRule="auto"/>
        <w:rPr>
          <w:rFonts w:cs="Arial"/>
        </w:rPr>
      </w:pPr>
      <w:r w:rsidRPr="6E041AC4">
        <w:rPr>
          <w:rFonts w:cs="Arial"/>
        </w:rPr>
        <w:t>Members with learning disabilities must be accorded the same respect as anyone else. Some may not be able to exercise fully their right to self-determination, but nonetheless should be offered choices within their capabilities.</w:t>
      </w:r>
    </w:p>
    <w:p w14:paraId="2DF34EA4" w14:textId="75E5AAA6" w:rsidR="00CF17E8" w:rsidRPr="00835581" w:rsidRDefault="00CF17E8" w:rsidP="00CF17E8">
      <w:pPr>
        <w:spacing w:line="240" w:lineRule="auto"/>
        <w:rPr>
          <w:rFonts w:cs="Arial"/>
        </w:rPr>
      </w:pPr>
      <w:r w:rsidRPr="00835581">
        <w:rPr>
          <w:rFonts w:cs="Arial"/>
        </w:rPr>
        <w:t xml:space="preserve">Care should be taken in evaluating each individual’s comprehension; use plain language, supported if necessary by using other </w:t>
      </w:r>
      <w:r w:rsidRPr="005711D5">
        <w:rPr>
          <w:rFonts w:cs="Arial"/>
          <w:highlight w:val="yellow"/>
        </w:rPr>
        <w:t>materials</w:t>
      </w:r>
      <w:r w:rsidR="005711D5" w:rsidRPr="005711D5">
        <w:rPr>
          <w:rFonts w:cs="Arial"/>
          <w:highlight w:val="yellow"/>
        </w:rPr>
        <w:t xml:space="preserve"> (forms of communication)</w:t>
      </w:r>
      <w:r w:rsidRPr="00835581">
        <w:rPr>
          <w:rFonts w:cs="Arial"/>
        </w:rPr>
        <w:t xml:space="preserve"> such as </w:t>
      </w:r>
      <w:proofErr w:type="gramStart"/>
      <w:r w:rsidRPr="005711D5">
        <w:rPr>
          <w:rFonts w:cs="Arial"/>
          <w:highlight w:val="yellow"/>
        </w:rPr>
        <w:t>pictures</w:t>
      </w:r>
      <w:r w:rsidR="005711D5" w:rsidRPr="005711D5">
        <w:rPr>
          <w:rFonts w:cs="Arial"/>
          <w:highlight w:val="yellow"/>
        </w:rPr>
        <w:t>(</w:t>
      </w:r>
      <w:proofErr w:type="gramEnd"/>
      <w:r w:rsidR="005711D5" w:rsidRPr="005711D5">
        <w:rPr>
          <w:rFonts w:cs="Arial"/>
          <w:highlight w:val="yellow"/>
        </w:rPr>
        <w:t>PECS,BSL etc)</w:t>
      </w:r>
      <w:r w:rsidRPr="005711D5">
        <w:rPr>
          <w:rFonts w:cs="Arial"/>
          <w:highlight w:val="yellow"/>
        </w:rPr>
        <w:t>.</w:t>
      </w:r>
      <w:r w:rsidRPr="00835581">
        <w:rPr>
          <w:rFonts w:cs="Arial"/>
        </w:rPr>
        <w:t xml:space="preserve"> Dependent upon the needs of the </w:t>
      </w:r>
      <w:r w:rsidR="003F74AE" w:rsidRPr="005711D5">
        <w:rPr>
          <w:rFonts w:cs="Arial"/>
          <w:highlight w:val="yellow"/>
        </w:rPr>
        <w:t>service user</w:t>
      </w:r>
      <w:r w:rsidR="005711D5">
        <w:rPr>
          <w:rFonts w:cs="Arial"/>
          <w:highlight w:val="yellow"/>
        </w:rPr>
        <w:t>(member)</w:t>
      </w:r>
      <w:r w:rsidRPr="005711D5">
        <w:rPr>
          <w:rFonts w:cs="Arial"/>
          <w:highlight w:val="yellow"/>
        </w:rPr>
        <w:t>,</w:t>
      </w:r>
      <w:r w:rsidRPr="00835581">
        <w:rPr>
          <w:rFonts w:cs="Arial"/>
        </w:rPr>
        <w:t xml:space="preserve"> it may be necessary to present the information in different formats or over a longer duration.</w:t>
      </w:r>
    </w:p>
    <w:p w14:paraId="47922324" w14:textId="2A78C26F" w:rsidR="00CF17E8" w:rsidRPr="00835581" w:rsidRDefault="00CF17E8" w:rsidP="00CF17E8">
      <w:pPr>
        <w:spacing w:line="240" w:lineRule="auto"/>
        <w:rPr>
          <w:rFonts w:cs="Arial"/>
        </w:rPr>
      </w:pPr>
      <w:r w:rsidRPr="00835581">
        <w:rPr>
          <w:rFonts w:cs="Arial"/>
        </w:rPr>
        <w:t xml:space="preserve">Every effort should be made to seek informed consent. It may be necessary to involve a range of multi-agency partners who are knowledgeable about the </w:t>
      </w:r>
      <w:r w:rsidR="003F74AE" w:rsidRPr="005711D5">
        <w:rPr>
          <w:rFonts w:cs="Arial"/>
          <w:highlight w:val="yellow"/>
        </w:rPr>
        <w:t>service user</w:t>
      </w:r>
      <w:r w:rsidRPr="005711D5">
        <w:rPr>
          <w:rFonts w:cs="Arial"/>
          <w:highlight w:val="yellow"/>
        </w:rPr>
        <w:t>’s</w:t>
      </w:r>
      <w:r w:rsidR="005711D5" w:rsidRPr="005711D5">
        <w:rPr>
          <w:rFonts w:cs="Arial"/>
          <w:highlight w:val="yellow"/>
        </w:rPr>
        <w:t>(member’s)</w:t>
      </w:r>
      <w:r w:rsidRPr="00835581">
        <w:rPr>
          <w:rFonts w:cs="Arial"/>
        </w:rPr>
        <w:t xml:space="preserve"> situation and can contribute to an assessment of their best interests.</w:t>
      </w:r>
    </w:p>
    <w:p w14:paraId="2B2A7A39" w14:textId="77777777" w:rsidR="00CF17E8" w:rsidRPr="00865580" w:rsidRDefault="00CF17E8" w:rsidP="00CF17E8">
      <w:pPr>
        <w:rPr>
          <w:b/>
        </w:rPr>
      </w:pPr>
      <w:bookmarkStart w:id="58" w:name="_Toc408410446"/>
      <w:bookmarkStart w:id="59" w:name="_Toc408495633"/>
      <w:bookmarkStart w:id="60" w:name="_Toc409431124"/>
      <w:r w:rsidRPr="00096CD0">
        <w:rPr>
          <w:b/>
        </w:rPr>
        <w:t>Conclusion</w:t>
      </w:r>
      <w:bookmarkEnd w:id="58"/>
      <w:bookmarkEnd w:id="59"/>
      <w:bookmarkEnd w:id="60"/>
    </w:p>
    <w:p w14:paraId="769698BB" w14:textId="5C514DEE" w:rsidR="00CF17E8" w:rsidRPr="00835581" w:rsidRDefault="00CF17E8" w:rsidP="00CF17E8">
      <w:pPr>
        <w:spacing w:line="240" w:lineRule="auto"/>
        <w:rPr>
          <w:rFonts w:cs="Arial"/>
        </w:rPr>
      </w:pPr>
      <w:r w:rsidRPr="00835581">
        <w:rPr>
          <w:rFonts w:cs="Arial"/>
        </w:rPr>
        <w:t xml:space="preserve">The key principles in obtaining informed consent are to put the </w:t>
      </w:r>
      <w:r w:rsidR="003F74AE" w:rsidRPr="005711D5">
        <w:rPr>
          <w:rFonts w:cs="Arial"/>
          <w:highlight w:val="yellow"/>
        </w:rPr>
        <w:t>service user</w:t>
      </w:r>
      <w:r w:rsidRPr="005711D5">
        <w:rPr>
          <w:rFonts w:cs="Arial"/>
          <w:highlight w:val="yellow"/>
        </w:rPr>
        <w:t>’s</w:t>
      </w:r>
      <w:r w:rsidR="005711D5">
        <w:rPr>
          <w:rFonts w:cs="Arial"/>
        </w:rPr>
        <w:t xml:space="preserve"> </w:t>
      </w:r>
      <w:r w:rsidR="005711D5" w:rsidRPr="005711D5">
        <w:rPr>
          <w:rFonts w:cs="Arial"/>
          <w:highlight w:val="yellow"/>
        </w:rPr>
        <w:t>(member’s)</w:t>
      </w:r>
      <w:r w:rsidRPr="00835581">
        <w:rPr>
          <w:rFonts w:cs="Arial"/>
        </w:rPr>
        <w:t xml:space="preserve"> needs first. To participate effectively in informed consent processes</w:t>
      </w:r>
      <w:r w:rsidR="005711D5" w:rsidRPr="005711D5">
        <w:rPr>
          <w:rFonts w:cs="Arial"/>
          <w:highlight w:val="green"/>
        </w:rPr>
        <w:t>,</w:t>
      </w:r>
      <w:r w:rsidRPr="00835581">
        <w:rPr>
          <w:rFonts w:cs="Arial"/>
        </w:rPr>
        <w:t xml:space="preserve"> all staff should have the knowledge, </w:t>
      </w:r>
      <w:proofErr w:type="gramStart"/>
      <w:r w:rsidRPr="00835581">
        <w:rPr>
          <w:rFonts w:cs="Arial"/>
        </w:rPr>
        <w:t>expertise</w:t>
      </w:r>
      <w:proofErr w:type="gramEnd"/>
      <w:r w:rsidRPr="00835581">
        <w:rPr>
          <w:rFonts w:cs="Arial"/>
        </w:rPr>
        <w:t xml:space="preserve"> and competencies to give sufficient information in an appropriate format and be able to answer any questions raised by the </w:t>
      </w:r>
      <w:r w:rsidR="003F74AE" w:rsidRPr="005711D5">
        <w:rPr>
          <w:rFonts w:cs="Arial"/>
          <w:highlight w:val="yellow"/>
        </w:rPr>
        <w:t>service user</w:t>
      </w:r>
      <w:r w:rsidR="005711D5">
        <w:rPr>
          <w:rFonts w:cs="Arial"/>
          <w:highlight w:val="yellow"/>
        </w:rPr>
        <w:t xml:space="preserve"> (member)</w:t>
      </w:r>
      <w:r w:rsidRPr="005711D5">
        <w:rPr>
          <w:rFonts w:cs="Arial"/>
          <w:highlight w:val="yellow"/>
        </w:rPr>
        <w:t>,</w:t>
      </w:r>
      <w:r w:rsidRPr="00835581">
        <w:rPr>
          <w:rFonts w:cs="Arial"/>
        </w:rPr>
        <w:t xml:space="preserve"> their family or representative.</w:t>
      </w:r>
    </w:p>
    <w:p w14:paraId="146A459C" w14:textId="2774CBD3" w:rsidR="00CF17E8" w:rsidRPr="00835581" w:rsidRDefault="00CF17E8" w:rsidP="00CF17E8">
      <w:pPr>
        <w:spacing w:line="240" w:lineRule="auto"/>
        <w:rPr>
          <w:rFonts w:cs="Arial"/>
        </w:rPr>
      </w:pPr>
      <w:r w:rsidRPr="00835581">
        <w:rPr>
          <w:rFonts w:cs="Arial"/>
        </w:rPr>
        <w:t xml:space="preserve">It is vital that the relevant staff be able to assess a </w:t>
      </w:r>
      <w:r w:rsidR="003F74AE" w:rsidRPr="005711D5">
        <w:rPr>
          <w:rFonts w:cs="Arial"/>
          <w:highlight w:val="yellow"/>
        </w:rPr>
        <w:t>service user</w:t>
      </w:r>
      <w:r w:rsidRPr="005711D5">
        <w:rPr>
          <w:rFonts w:cs="Arial"/>
          <w:highlight w:val="yellow"/>
        </w:rPr>
        <w:t>’s</w:t>
      </w:r>
      <w:r w:rsidR="005711D5" w:rsidRPr="005711D5">
        <w:rPr>
          <w:rFonts w:cs="Arial"/>
          <w:highlight w:val="yellow"/>
        </w:rPr>
        <w:t>(member’s)</w:t>
      </w:r>
      <w:r w:rsidRPr="00835581">
        <w:rPr>
          <w:rFonts w:cs="Arial"/>
        </w:rPr>
        <w:t xml:space="preserve"> capacity to give informed consent. If staff are open, honest and ensure the </w:t>
      </w:r>
      <w:r w:rsidR="003F74AE" w:rsidRPr="005711D5">
        <w:rPr>
          <w:rFonts w:cs="Arial"/>
          <w:highlight w:val="yellow"/>
        </w:rPr>
        <w:t>service user</w:t>
      </w:r>
      <w:r w:rsidRPr="005711D5">
        <w:rPr>
          <w:rFonts w:cs="Arial"/>
          <w:highlight w:val="yellow"/>
        </w:rPr>
        <w:t>’s</w:t>
      </w:r>
      <w:r w:rsidR="005711D5" w:rsidRPr="005711D5">
        <w:rPr>
          <w:rFonts w:cs="Arial"/>
          <w:highlight w:val="yellow"/>
        </w:rPr>
        <w:t>(members)</w:t>
      </w:r>
      <w:r w:rsidRPr="00835581">
        <w:rPr>
          <w:rFonts w:cs="Arial"/>
        </w:rPr>
        <w:t xml:space="preserve"> understanding, then truly informed consent will be obtained.</w:t>
      </w:r>
    </w:p>
    <w:p w14:paraId="54BEEFFA" w14:textId="77777777" w:rsidR="00CF17E8" w:rsidRPr="00865580" w:rsidRDefault="00CF17E8" w:rsidP="00CF17E8">
      <w:pPr>
        <w:rPr>
          <w:b/>
        </w:rPr>
      </w:pPr>
      <w:bookmarkStart w:id="61" w:name="_Toc408410447"/>
      <w:bookmarkStart w:id="62" w:name="_Toc408495634"/>
      <w:bookmarkStart w:id="63" w:name="_Toc409431125"/>
      <w:r w:rsidRPr="00096CD0">
        <w:rPr>
          <w:b/>
        </w:rPr>
        <w:t>Related Policies</w:t>
      </w:r>
      <w:bookmarkEnd w:id="61"/>
      <w:bookmarkEnd w:id="62"/>
      <w:bookmarkEnd w:id="63"/>
    </w:p>
    <w:p w14:paraId="4B837016" w14:textId="77777777" w:rsidR="004D4995" w:rsidRPr="00B64745" w:rsidRDefault="004D4995" w:rsidP="00CF17E8">
      <w:pPr>
        <w:rPr>
          <w:lang w:eastAsia="en-US"/>
        </w:rPr>
      </w:pPr>
      <w:r w:rsidRPr="00B64745">
        <w:rPr>
          <w:lang w:eastAsia="en-US"/>
        </w:rPr>
        <w:t>Accessible Information</w:t>
      </w:r>
      <w:r w:rsidR="00FD387B" w:rsidRPr="00B64745">
        <w:rPr>
          <w:lang w:eastAsia="en-US"/>
        </w:rPr>
        <w:t xml:space="preserve"> and Communication</w:t>
      </w:r>
    </w:p>
    <w:p w14:paraId="054DFEA5" w14:textId="77777777" w:rsidR="00CF17E8" w:rsidRDefault="00CF17E8" w:rsidP="00CF17E8">
      <w:pPr>
        <w:rPr>
          <w:lang w:eastAsia="en-US"/>
        </w:rPr>
      </w:pPr>
      <w:r>
        <w:rPr>
          <w:lang w:eastAsia="en-US"/>
        </w:rPr>
        <w:t>Adult Safeguarding</w:t>
      </w:r>
    </w:p>
    <w:p w14:paraId="16D82599" w14:textId="77777777" w:rsidR="00CF17E8" w:rsidRDefault="00CF17E8" w:rsidP="00CF17E8">
      <w:pPr>
        <w:rPr>
          <w:lang w:eastAsia="en-US"/>
        </w:rPr>
      </w:pPr>
      <w:r>
        <w:rPr>
          <w:lang w:eastAsia="en-US"/>
        </w:rPr>
        <w:t>Assessment of Need and Eligibility</w:t>
      </w:r>
    </w:p>
    <w:p w14:paraId="0C389C38" w14:textId="77777777" w:rsidR="007F3BFF" w:rsidRDefault="00CF17E8" w:rsidP="00CF17E8">
      <w:pPr>
        <w:rPr>
          <w:lang w:eastAsia="en-US"/>
        </w:rPr>
      </w:pPr>
      <w:r>
        <w:rPr>
          <w:lang w:eastAsia="en-US"/>
        </w:rPr>
        <w:t>Care and Support Planning</w:t>
      </w:r>
    </w:p>
    <w:p w14:paraId="6059CA06" w14:textId="77777777" w:rsidR="007F3BFF" w:rsidRPr="0013098D" w:rsidRDefault="007F3BFF" w:rsidP="00CF17E8">
      <w:pPr>
        <w:rPr>
          <w:lang w:eastAsia="en-US"/>
        </w:rPr>
      </w:pPr>
      <w:r w:rsidRPr="0013098D">
        <w:rPr>
          <w:lang w:eastAsia="en-US"/>
        </w:rPr>
        <w:t>Cyber Security</w:t>
      </w:r>
    </w:p>
    <w:p w14:paraId="4663F70C" w14:textId="77777777" w:rsidR="007F3BFF" w:rsidRPr="008E1F9F" w:rsidRDefault="007F3BFF" w:rsidP="00CF17E8">
      <w:pPr>
        <w:rPr>
          <w:lang w:eastAsia="en-US"/>
        </w:rPr>
      </w:pPr>
      <w:r w:rsidRPr="008E1F9F">
        <w:rPr>
          <w:lang w:eastAsia="en-US"/>
        </w:rPr>
        <w:t>Data Protection</w:t>
      </w:r>
      <w:r w:rsidR="006111D5" w:rsidRPr="008E1F9F">
        <w:rPr>
          <w:lang w:eastAsia="en-US"/>
        </w:rPr>
        <w:t xml:space="preserve"> Legislative </w:t>
      </w:r>
      <w:proofErr w:type="gramStart"/>
      <w:r w:rsidR="006111D5" w:rsidRPr="008E1F9F">
        <w:rPr>
          <w:lang w:eastAsia="en-US"/>
        </w:rPr>
        <w:t>Framework(</w:t>
      </w:r>
      <w:proofErr w:type="gramEnd"/>
      <w:r w:rsidR="006111D5" w:rsidRPr="008E1F9F">
        <w:rPr>
          <w:lang w:eastAsia="en-US"/>
        </w:rPr>
        <w:t>GDPR)</w:t>
      </w:r>
    </w:p>
    <w:p w14:paraId="3586F1DE" w14:textId="77777777" w:rsidR="00CF17E8" w:rsidRDefault="00CF17E8" w:rsidP="00CF17E8">
      <w:pPr>
        <w:rPr>
          <w:lang w:eastAsia="en-US"/>
        </w:rPr>
      </w:pPr>
      <w:r>
        <w:rPr>
          <w:lang w:eastAsia="en-US"/>
        </w:rPr>
        <w:t>Deprivation of Liberty Safeguards</w:t>
      </w:r>
    </w:p>
    <w:p w14:paraId="0B372528" w14:textId="77777777" w:rsidR="00CF17E8" w:rsidRDefault="00CF17E8" w:rsidP="00CF17E8">
      <w:pPr>
        <w:rPr>
          <w:lang w:eastAsia="en-US"/>
        </w:rPr>
      </w:pPr>
      <w:r>
        <w:rPr>
          <w:lang w:eastAsia="en-US"/>
        </w:rPr>
        <w:t>Mental Capacity Act 2005</w:t>
      </w:r>
    </w:p>
    <w:p w14:paraId="4EA0940B" w14:textId="77777777" w:rsidR="00CF17E8" w:rsidRPr="00865580" w:rsidRDefault="00CF17E8" w:rsidP="00CF17E8">
      <w:pPr>
        <w:rPr>
          <w:lang w:eastAsia="en-US"/>
        </w:rPr>
      </w:pPr>
      <w:r>
        <w:rPr>
          <w:lang w:eastAsia="en-US"/>
        </w:rPr>
        <w:t>Record Keeping</w:t>
      </w:r>
      <w:bookmarkStart w:id="64" w:name="_Toc408410448"/>
      <w:bookmarkStart w:id="65" w:name="_Toc408495635"/>
    </w:p>
    <w:p w14:paraId="1B0513FD" w14:textId="77777777" w:rsidR="00CF17E8" w:rsidRPr="00865580" w:rsidRDefault="00CF17E8" w:rsidP="00CF17E8">
      <w:pPr>
        <w:rPr>
          <w:b/>
        </w:rPr>
      </w:pPr>
      <w:bookmarkStart w:id="66" w:name="_Toc409431126"/>
      <w:r w:rsidRPr="00096CD0">
        <w:rPr>
          <w:b/>
        </w:rPr>
        <w:t>Training Statement</w:t>
      </w:r>
      <w:bookmarkEnd w:id="64"/>
      <w:bookmarkEnd w:id="65"/>
      <w:bookmarkEnd w:id="66"/>
    </w:p>
    <w:p w14:paraId="5CC481DF" w14:textId="77777777" w:rsidR="00CF17E8" w:rsidRPr="00835581" w:rsidRDefault="00CF17E8" w:rsidP="00CF17E8">
      <w:pPr>
        <w:spacing w:line="240" w:lineRule="auto"/>
        <w:rPr>
          <w:rFonts w:cs="Arial"/>
        </w:rPr>
      </w:pPr>
      <w:r w:rsidRPr="00E60F8E">
        <w:rPr>
          <w:rFonts w:cs="Arial"/>
          <w:highlight w:val="magenta"/>
        </w:rPr>
        <w:t xml:space="preserve">All staff undertaking assessment of needs and care planning duties will be updated yearly on the </w:t>
      </w:r>
      <w:r w:rsidRPr="00E60F8E">
        <w:rPr>
          <w:rFonts w:cs="Arial"/>
          <w:i/>
          <w:highlight w:val="magenta"/>
        </w:rPr>
        <w:t>Mental Capacity Act 2005</w:t>
      </w:r>
      <w:r w:rsidRPr="00E60F8E">
        <w:rPr>
          <w:rFonts w:cs="Arial"/>
          <w:highlight w:val="magenta"/>
        </w:rPr>
        <w:t xml:space="preserve"> and relevant guidance including guidance from local mental capacity teams. All staff as part of their Induction undertake </w:t>
      </w:r>
      <w:r w:rsidRPr="00E60F8E">
        <w:rPr>
          <w:rFonts w:cs="Arial"/>
          <w:i/>
          <w:highlight w:val="magenta"/>
        </w:rPr>
        <w:t>Mental Capacity Act 2005</w:t>
      </w:r>
      <w:r w:rsidRPr="00E60F8E">
        <w:rPr>
          <w:rFonts w:cs="Arial"/>
          <w:highlight w:val="magenta"/>
        </w:rPr>
        <w:t xml:space="preserve"> awareness training, and this will be updated bi-annually.</w:t>
      </w:r>
    </w:p>
    <w:sectPr w:rsidR="00CF17E8" w:rsidRPr="00835581" w:rsidSect="009849C9">
      <w:headerReference w:type="default" r:id="rId13"/>
      <w:footerReference w:type="default" r:id="rId14"/>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D622" w14:textId="77777777" w:rsidR="00000000" w:rsidRDefault="00E60F8E">
      <w:pPr>
        <w:spacing w:after="0" w:line="240" w:lineRule="auto"/>
      </w:pPr>
      <w:r>
        <w:separator/>
      </w:r>
    </w:p>
  </w:endnote>
  <w:endnote w:type="continuationSeparator" w:id="0">
    <w:p w14:paraId="6704409C" w14:textId="77777777" w:rsidR="00000000" w:rsidRDefault="00E6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370"/>
      <w:gridCol w:w="345"/>
      <w:gridCol w:w="345"/>
    </w:tblGrid>
    <w:tr w:rsidR="70442D10" w14:paraId="09A8F832" w14:textId="77777777" w:rsidTr="70442D10">
      <w:tc>
        <w:tcPr>
          <w:tcW w:w="8370" w:type="dxa"/>
        </w:tcPr>
        <w:p w14:paraId="1EE499FB" w14:textId="057E1AD1" w:rsidR="70442D10" w:rsidRDefault="70442D10">
          <w:r w:rsidRPr="70442D10">
            <w:rPr>
              <w:rFonts w:eastAsia="Arial" w:cs="Arial"/>
            </w:rPr>
            <w:t>Spectrum Days, Old Coach Road, Droitwich Spa WR9 8BB Charity Number 1151711</w:t>
          </w:r>
          <w:hyperlink r:id="rId1">
            <w:r w:rsidRPr="70442D10">
              <w:rPr>
                <w:rStyle w:val="Hyperlink"/>
                <w:rFonts w:eastAsia="Arial" w:cs="Arial"/>
              </w:rPr>
              <w:t>Tel:01905</w:t>
            </w:r>
          </w:hyperlink>
          <w:r w:rsidRPr="70442D10">
            <w:rPr>
              <w:rFonts w:eastAsia="Arial" w:cs="Arial"/>
            </w:rPr>
            <w:t xml:space="preserve"> 773725 </w:t>
          </w:r>
          <w:r w:rsidRPr="70442D10">
            <w:rPr>
              <w:rFonts w:ascii="Times New Roman" w:eastAsia="Times New Roman" w:hAnsi="Times New Roman" w:cs="Times New Roman"/>
              <w:sz w:val="24"/>
              <w:szCs w:val="24"/>
            </w:rPr>
            <w:t xml:space="preserve">email: </w:t>
          </w:r>
          <w:hyperlink r:id="rId2">
            <w:r w:rsidRPr="70442D10">
              <w:rPr>
                <w:rStyle w:val="Hyperlink"/>
                <w:rFonts w:eastAsia="Arial" w:cs="Arial"/>
              </w:rPr>
              <w:t>enquiries@spectrumdays.co.uk</w:t>
            </w:r>
          </w:hyperlink>
          <w:r w:rsidRPr="70442D10">
            <w:rPr>
              <w:rFonts w:eastAsia="Arial" w:cs="Arial"/>
              <w:color w:val="0000FF"/>
            </w:rPr>
            <w:t xml:space="preserve"> </w:t>
          </w:r>
          <w:hyperlink r:id="rId3">
            <w:r w:rsidRPr="70442D10">
              <w:rPr>
                <w:rStyle w:val="Hyperlink"/>
                <w:rFonts w:eastAsia="Arial" w:cs="Arial"/>
              </w:rPr>
              <w:t>www.spectrumdays.co.uk</w:t>
            </w:r>
          </w:hyperlink>
          <w:r w:rsidRPr="70442D10">
            <w:rPr>
              <w:rFonts w:eastAsia="Arial" w:cs="Arial"/>
            </w:rPr>
            <w:t xml:space="preserve"> </w:t>
          </w:r>
        </w:p>
        <w:p w14:paraId="6B84F51D" w14:textId="033BB4E2" w:rsidR="70442D10" w:rsidRDefault="70442D10" w:rsidP="70442D10">
          <w:pPr>
            <w:pStyle w:val="Header"/>
            <w:ind w:left="-115"/>
            <w:jc w:val="left"/>
          </w:pPr>
        </w:p>
      </w:tc>
      <w:tc>
        <w:tcPr>
          <w:tcW w:w="345" w:type="dxa"/>
        </w:tcPr>
        <w:p w14:paraId="51D998CD" w14:textId="35D436EC" w:rsidR="70442D10" w:rsidRDefault="70442D10" w:rsidP="70442D10">
          <w:pPr>
            <w:pStyle w:val="Header"/>
            <w:jc w:val="center"/>
          </w:pPr>
        </w:p>
      </w:tc>
      <w:tc>
        <w:tcPr>
          <w:tcW w:w="345" w:type="dxa"/>
        </w:tcPr>
        <w:p w14:paraId="44445A80" w14:textId="5D019752" w:rsidR="70442D10" w:rsidRDefault="70442D10" w:rsidP="70442D10">
          <w:pPr>
            <w:pStyle w:val="Header"/>
            <w:ind w:right="-115"/>
            <w:jc w:val="right"/>
          </w:pPr>
        </w:p>
      </w:tc>
    </w:tr>
  </w:tbl>
  <w:p w14:paraId="517470CE" w14:textId="2C4B022D" w:rsidR="70442D10" w:rsidRDefault="70442D10" w:rsidP="70442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234BB" w14:textId="77777777" w:rsidR="00000000" w:rsidRDefault="00E60F8E">
      <w:pPr>
        <w:spacing w:after="0" w:line="240" w:lineRule="auto"/>
      </w:pPr>
      <w:r>
        <w:separator/>
      </w:r>
    </w:p>
  </w:footnote>
  <w:footnote w:type="continuationSeparator" w:id="0">
    <w:p w14:paraId="6BC9ABE7" w14:textId="77777777" w:rsidR="00000000" w:rsidRDefault="00E60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0442D10" w14:paraId="2CCDF6BD" w14:textId="77777777" w:rsidTr="70442D10">
      <w:tc>
        <w:tcPr>
          <w:tcW w:w="3020" w:type="dxa"/>
        </w:tcPr>
        <w:p w14:paraId="3301076E" w14:textId="200DBC80" w:rsidR="70442D10" w:rsidRDefault="70442D10" w:rsidP="70442D10">
          <w:pPr>
            <w:pStyle w:val="Header"/>
            <w:ind w:left="-115"/>
            <w:jc w:val="left"/>
          </w:pPr>
        </w:p>
      </w:tc>
      <w:tc>
        <w:tcPr>
          <w:tcW w:w="3020" w:type="dxa"/>
        </w:tcPr>
        <w:p w14:paraId="7C04D4FE" w14:textId="7A75BE4A" w:rsidR="70442D10" w:rsidRDefault="70442D10" w:rsidP="70442D10">
          <w:pPr>
            <w:pStyle w:val="Header"/>
            <w:jc w:val="center"/>
          </w:pPr>
        </w:p>
      </w:tc>
      <w:tc>
        <w:tcPr>
          <w:tcW w:w="3020" w:type="dxa"/>
        </w:tcPr>
        <w:p w14:paraId="33E17155" w14:textId="494F2732" w:rsidR="70442D10" w:rsidRDefault="70442D10" w:rsidP="70442D10">
          <w:pPr>
            <w:pStyle w:val="Header"/>
            <w:ind w:right="-115"/>
            <w:jc w:val="right"/>
          </w:pPr>
        </w:p>
      </w:tc>
    </w:tr>
  </w:tbl>
  <w:p w14:paraId="2A52A594" w14:textId="7DB5D7FD" w:rsidR="70442D10" w:rsidRDefault="70442D10" w:rsidP="70442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C2EB8"/>
    <w:multiLevelType w:val="hybridMultilevel"/>
    <w:tmpl w:val="0888C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3"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4"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3533041">
    <w:abstractNumId w:val="4"/>
  </w:num>
  <w:num w:numId="2" w16cid:durableId="1847089136">
    <w:abstractNumId w:val="0"/>
  </w:num>
  <w:num w:numId="3" w16cid:durableId="684401029">
    <w:abstractNumId w:val="1"/>
  </w:num>
  <w:num w:numId="4" w16cid:durableId="721443778">
    <w:abstractNumId w:val="3"/>
  </w:num>
  <w:num w:numId="5" w16cid:durableId="14843517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9C9"/>
    <w:rsid w:val="00006F80"/>
    <w:rsid w:val="000138BE"/>
    <w:rsid w:val="00086C90"/>
    <w:rsid w:val="000B5B83"/>
    <w:rsid w:val="000C4EC1"/>
    <w:rsid w:val="00120028"/>
    <w:rsid w:val="0013098D"/>
    <w:rsid w:val="001F33DB"/>
    <w:rsid w:val="00213BB2"/>
    <w:rsid w:val="00230B0D"/>
    <w:rsid w:val="00243E71"/>
    <w:rsid w:val="002D1135"/>
    <w:rsid w:val="00343243"/>
    <w:rsid w:val="003472D0"/>
    <w:rsid w:val="003D42F3"/>
    <w:rsid w:val="003F74AE"/>
    <w:rsid w:val="004076DD"/>
    <w:rsid w:val="004948AA"/>
    <w:rsid w:val="004D4995"/>
    <w:rsid w:val="00560580"/>
    <w:rsid w:val="005711D5"/>
    <w:rsid w:val="006111D5"/>
    <w:rsid w:val="00646D72"/>
    <w:rsid w:val="006F14C3"/>
    <w:rsid w:val="00701261"/>
    <w:rsid w:val="00711783"/>
    <w:rsid w:val="007F3BFF"/>
    <w:rsid w:val="00815B76"/>
    <w:rsid w:val="008424C2"/>
    <w:rsid w:val="008807FC"/>
    <w:rsid w:val="008C05C3"/>
    <w:rsid w:val="008D053A"/>
    <w:rsid w:val="008E1F9F"/>
    <w:rsid w:val="00905471"/>
    <w:rsid w:val="009849C9"/>
    <w:rsid w:val="009C5CCF"/>
    <w:rsid w:val="00A00E4B"/>
    <w:rsid w:val="00AB3FC9"/>
    <w:rsid w:val="00B05C56"/>
    <w:rsid w:val="00B420F2"/>
    <w:rsid w:val="00B64745"/>
    <w:rsid w:val="00B652C5"/>
    <w:rsid w:val="00BC6EF0"/>
    <w:rsid w:val="00BE6371"/>
    <w:rsid w:val="00BF15D8"/>
    <w:rsid w:val="00C32082"/>
    <w:rsid w:val="00C70C5D"/>
    <w:rsid w:val="00C801E0"/>
    <w:rsid w:val="00C82D55"/>
    <w:rsid w:val="00CF17E8"/>
    <w:rsid w:val="00D215F5"/>
    <w:rsid w:val="00DB4B15"/>
    <w:rsid w:val="00DD3870"/>
    <w:rsid w:val="00DD738F"/>
    <w:rsid w:val="00E0710F"/>
    <w:rsid w:val="00E514CF"/>
    <w:rsid w:val="00E60F8E"/>
    <w:rsid w:val="00E813D2"/>
    <w:rsid w:val="00E96A60"/>
    <w:rsid w:val="00ED3891"/>
    <w:rsid w:val="00F60CF8"/>
    <w:rsid w:val="00F718E9"/>
    <w:rsid w:val="00FA4EEF"/>
    <w:rsid w:val="00FD387B"/>
    <w:rsid w:val="14BE7047"/>
    <w:rsid w:val="195E0EA6"/>
    <w:rsid w:val="1C95AF68"/>
    <w:rsid w:val="24537E19"/>
    <w:rsid w:val="2648DEEF"/>
    <w:rsid w:val="292D33C6"/>
    <w:rsid w:val="3C0D0E72"/>
    <w:rsid w:val="3CB70F42"/>
    <w:rsid w:val="3DA8DED3"/>
    <w:rsid w:val="45B08A06"/>
    <w:rsid w:val="4E2BAE35"/>
    <w:rsid w:val="5410BC09"/>
    <w:rsid w:val="6E041AC4"/>
    <w:rsid w:val="6F5ECCE1"/>
    <w:rsid w:val="70442D10"/>
    <w:rsid w:val="734457A6"/>
    <w:rsid w:val="76A700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0636"/>
  <w15:docId w15:val="{0FAC3943-E20B-4333-8730-53762567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paragraph" w:customStyle="1" w:styleId="western">
    <w:name w:val="western"/>
    <w:basedOn w:val="Normal"/>
    <w:rsid w:val="00DD3870"/>
    <w:pPr>
      <w:spacing w:before="119" w:after="0" w:line="278" w:lineRule="atLeast"/>
    </w:pPr>
    <w:rPr>
      <w:rFonts w:ascii="Times New Roman" w:eastAsia="Times New Roman" w:hAnsi="Times New Roman" w:cs="Times New Roman"/>
      <w:sz w:val="28"/>
      <w:szCs w:val="2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pectrumdays.co.uk/" TargetMode="External"/><Relationship Id="rId2" Type="http://schemas.openxmlformats.org/officeDocument/2006/relationships/hyperlink" Target="mailto:enquiries@spectrumdays.co.uk" TargetMode="External"/><Relationship Id="rId1" Type="http://schemas.openxmlformats.org/officeDocument/2006/relationships/hyperlink" Target="Tel:0190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ECE0-53E5-4D0B-B781-769425F83BEC}">
  <ds:schemaRefs>
    <ds:schemaRef ds:uri="50d94c90-381a-403e-bd1e-1f0f62d01ba0"/>
    <ds:schemaRef ds:uri="http://www.w3.org/XML/1998/namespace"/>
    <ds:schemaRef ds:uri="121805f7-7891-456d-8e67-a351b647ea8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480E672-3774-40D7-8B16-BD236101DA7C}">
  <ds:schemaRefs>
    <ds:schemaRef ds:uri="http://schemas.microsoft.com/sharepoint/v3/contenttype/forms"/>
  </ds:schemaRefs>
</ds:datastoreItem>
</file>

<file path=customXml/itemProps3.xml><?xml version="1.0" encoding="utf-8"?>
<ds:datastoreItem xmlns:ds="http://schemas.openxmlformats.org/officeDocument/2006/customXml" ds:itemID="{0A1003F3-0F3D-48C4-AB97-4398DD38E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2C8F0D-080D-45BE-9D50-1E5845A5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totingere20</dc:creator>
  <cp:lastModifiedBy>Harry Rose</cp:lastModifiedBy>
  <cp:revision>25</cp:revision>
  <cp:lastPrinted>2018-05-08T15:40:00Z</cp:lastPrinted>
  <dcterms:created xsi:type="dcterms:W3CDTF">2018-01-15T14:20:00Z</dcterms:created>
  <dcterms:modified xsi:type="dcterms:W3CDTF">2022-06-28T12:54:00Z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63400</vt:r8>
  </property>
  <property fmtid="{D5CDD505-2E9C-101B-9397-08002B2CF9AE}" pid="8" name="_ExtendedDescription">
    <vt:lpwstr/>
  </property>
  <property fmtid="{D5CDD505-2E9C-101B-9397-08002B2CF9AE}" pid="9" name="TriggerFlowInfo">
    <vt:lpwstr/>
  </property>
</Properties>
</file>